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A8AA" w14:textId="69AD89D3" w:rsidR="002D5610" w:rsidRPr="002D5610" w:rsidRDefault="002D5610" w:rsidP="002D5610">
      <w:pPr>
        <w:rPr>
          <w:lang w:eastAsia="en-AU"/>
        </w:rPr>
      </w:pPr>
    </w:p>
    <w:p w14:paraId="07450746" w14:textId="10D6EA36" w:rsidR="002D5610" w:rsidRDefault="002D5610" w:rsidP="002D5610">
      <w:pPr>
        <w:spacing w:after="0" w:line="240" w:lineRule="auto"/>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Disqualification period considerations: </w:t>
      </w:r>
    </w:p>
    <w:p w14:paraId="738EA513" w14:textId="77777777" w:rsidR="002D5610" w:rsidRPr="002D5610" w:rsidRDefault="002D5610" w:rsidP="002D5610">
      <w:pPr>
        <w:spacing w:after="0" w:line="240" w:lineRule="auto"/>
        <w:jc w:val="both"/>
        <w:rPr>
          <w:rFonts w:ascii="Arial" w:eastAsia="Times New Roman" w:hAnsi="Arial" w:cs="Arial"/>
          <w:sz w:val="24"/>
          <w:szCs w:val="24"/>
          <w:lang w:eastAsia="en-AU"/>
        </w:rPr>
      </w:pPr>
    </w:p>
    <w:p w14:paraId="4E177072" w14:textId="513F5FA4" w:rsidR="002D5610" w:rsidRPr="002D5610" w:rsidRDefault="00000000" w:rsidP="002D5610">
      <w:pPr>
        <w:spacing w:after="0" w:line="240" w:lineRule="auto"/>
        <w:jc w:val="both"/>
        <w:rPr>
          <w:rFonts w:ascii="Arial" w:eastAsia="Times New Roman" w:hAnsi="Arial" w:cs="Arial"/>
          <w:sz w:val="24"/>
          <w:szCs w:val="24"/>
          <w:lang w:eastAsia="en-AU"/>
        </w:rPr>
      </w:pPr>
      <w:hyperlink r:id="rId4" w:history="1">
        <w:r w:rsidR="002D5610" w:rsidRPr="002D5610">
          <w:rPr>
            <w:rFonts w:ascii="Arial" w:eastAsia="Times New Roman" w:hAnsi="Arial" w:cs="Arial"/>
            <w:i/>
            <w:iCs/>
            <w:color w:val="0000FF"/>
            <w:sz w:val="24"/>
            <w:szCs w:val="24"/>
            <w:u w:val="single"/>
            <w:lang w:eastAsia="en-AU"/>
          </w:rPr>
          <w:t>Sutcliffe v Queensland Police Servic</w:t>
        </w:r>
      </w:hyperlink>
      <w:r w:rsidR="002D5610" w:rsidRPr="002D5610">
        <w:rPr>
          <w:rFonts w:ascii="Arial" w:eastAsia="Times New Roman" w:hAnsi="Arial" w:cs="Arial"/>
          <w:i/>
          <w:iCs/>
          <w:sz w:val="24"/>
          <w:szCs w:val="24"/>
          <w:lang w:eastAsia="en-AU"/>
        </w:rPr>
        <w:t xml:space="preserve">e </w:t>
      </w:r>
      <w:r w:rsidR="002D5610" w:rsidRPr="002D5610">
        <w:rPr>
          <w:rFonts w:ascii="Arial" w:eastAsia="Times New Roman" w:hAnsi="Arial" w:cs="Arial"/>
          <w:sz w:val="24"/>
          <w:szCs w:val="24"/>
          <w:lang w:eastAsia="en-AU"/>
        </w:rPr>
        <w:t>[2022] QDC 135 citing</w:t>
      </w:r>
      <w:r w:rsidR="002D5610" w:rsidRPr="002D5610">
        <w:rPr>
          <w:rFonts w:ascii="Arial" w:eastAsia="Times New Roman" w:hAnsi="Arial" w:cs="Arial"/>
          <w:i/>
          <w:iCs/>
          <w:sz w:val="24"/>
          <w:szCs w:val="24"/>
          <w:lang w:eastAsia="en-AU"/>
        </w:rPr>
        <w:t xml:space="preserve"> </w:t>
      </w:r>
      <w:hyperlink r:id="rId5" w:history="1">
        <w:r w:rsidR="002D5610" w:rsidRPr="002D5610">
          <w:rPr>
            <w:rFonts w:ascii="Arial" w:eastAsia="Times New Roman" w:hAnsi="Arial" w:cs="Arial"/>
            <w:i/>
            <w:iCs/>
            <w:color w:val="0000FF"/>
            <w:sz w:val="24"/>
            <w:szCs w:val="24"/>
            <w:u w:val="single"/>
            <w:lang w:eastAsia="en-AU"/>
          </w:rPr>
          <w:t>R v Osborne</w:t>
        </w:r>
      </w:hyperlink>
      <w:r w:rsidR="002D5610" w:rsidRPr="002D5610">
        <w:rPr>
          <w:rFonts w:ascii="Arial" w:eastAsia="Times New Roman" w:hAnsi="Arial" w:cs="Arial"/>
          <w:sz w:val="24"/>
          <w:szCs w:val="24"/>
          <w:lang w:eastAsia="en-AU"/>
        </w:rPr>
        <w:t xml:space="preserve"> [2014] QCA 291 the Court of Appeal at [57] stated:</w:t>
      </w:r>
    </w:p>
    <w:p w14:paraId="7441A70B" w14:textId="77777777" w:rsidR="002D5610" w:rsidRPr="002D5610" w:rsidRDefault="002D5610" w:rsidP="002D5610">
      <w:pPr>
        <w:spacing w:after="0" w:line="240" w:lineRule="auto"/>
        <w:jc w:val="both"/>
        <w:rPr>
          <w:rFonts w:ascii="Arial" w:eastAsia="Times New Roman" w:hAnsi="Arial" w:cs="Arial"/>
          <w:sz w:val="24"/>
          <w:szCs w:val="24"/>
          <w:lang w:eastAsia="en-AU"/>
        </w:rPr>
      </w:pPr>
    </w:p>
    <w:p w14:paraId="15B244D7" w14:textId="36B8F139" w:rsidR="002D5610" w:rsidRPr="002D5610" w:rsidRDefault="002D5610" w:rsidP="002D5610">
      <w:pPr>
        <w:spacing w:after="0" w:line="240" w:lineRule="auto"/>
        <w:jc w:val="both"/>
        <w:rPr>
          <w:rFonts w:ascii="Arial" w:eastAsia="Times New Roman" w:hAnsi="Arial" w:cs="Arial"/>
          <w:sz w:val="24"/>
          <w:szCs w:val="24"/>
          <w:lang w:eastAsia="en-AU"/>
        </w:rPr>
      </w:pPr>
      <w:r w:rsidRPr="002D5610">
        <w:rPr>
          <w:rFonts w:ascii="Arial" w:eastAsia="Times New Roman" w:hAnsi="Arial" w:cs="Arial"/>
          <w:sz w:val="24"/>
          <w:szCs w:val="24"/>
          <w:lang w:eastAsia="en-AU"/>
        </w:rPr>
        <w:t xml:space="preserve">“[57] However, the discretion arising under s 187(1) as to the period of </w:t>
      </w:r>
      <w:r>
        <w:rPr>
          <w:rFonts w:ascii="Arial" w:eastAsia="Times New Roman" w:hAnsi="Arial" w:cs="Arial"/>
          <w:sz w:val="24"/>
          <w:szCs w:val="24"/>
          <w:lang w:eastAsia="en-AU"/>
        </w:rPr>
        <w:t>d</w:t>
      </w:r>
      <w:r w:rsidRPr="002D5610">
        <w:rPr>
          <w:rFonts w:ascii="Arial" w:eastAsia="Times New Roman" w:hAnsi="Arial" w:cs="Arial"/>
          <w:sz w:val="24"/>
          <w:szCs w:val="24"/>
          <w:lang w:eastAsia="en-AU"/>
        </w:rPr>
        <w:t>isqualification is broad and not expressed as being confined solely to “the nature of the offence, or to the circumstances in which it was committed.” Other considerations which have been regarded as relevant to that discretion include: </w:t>
      </w:r>
    </w:p>
    <w:p w14:paraId="730798AF" w14:textId="77777777" w:rsidR="002D5610" w:rsidRPr="002D5610" w:rsidRDefault="002D5610" w:rsidP="002D5610">
      <w:pPr>
        <w:spacing w:after="0" w:line="240" w:lineRule="auto"/>
        <w:jc w:val="both"/>
        <w:rPr>
          <w:rFonts w:ascii="Arial" w:eastAsia="Times New Roman" w:hAnsi="Arial" w:cs="Arial"/>
          <w:sz w:val="24"/>
          <w:szCs w:val="24"/>
          <w:lang w:eastAsia="en-AU"/>
        </w:rPr>
      </w:pPr>
    </w:p>
    <w:p w14:paraId="057974B4" w14:textId="77777777" w:rsidR="002D5610" w:rsidRPr="002D5610" w:rsidRDefault="002D5610" w:rsidP="002D5610">
      <w:pPr>
        <w:spacing w:after="0" w:line="240" w:lineRule="auto"/>
        <w:jc w:val="both"/>
        <w:rPr>
          <w:rFonts w:ascii="Arial" w:eastAsia="Times New Roman" w:hAnsi="Arial" w:cs="Arial"/>
          <w:sz w:val="24"/>
          <w:szCs w:val="24"/>
          <w:lang w:eastAsia="en-AU"/>
        </w:rPr>
      </w:pPr>
      <w:r w:rsidRPr="002D5610">
        <w:rPr>
          <w:rFonts w:ascii="Arial" w:eastAsia="Times New Roman" w:hAnsi="Arial" w:cs="Arial"/>
          <w:sz w:val="24"/>
          <w:szCs w:val="24"/>
          <w:lang w:eastAsia="en-AU"/>
        </w:rPr>
        <w:t xml:space="preserve">- the need for protection of the public from persons who create danger on the road, particularly those with a pattern of doing so;  </w:t>
      </w:r>
      <w:r w:rsidRPr="002D5610">
        <w:rPr>
          <w:rFonts w:ascii="Arial" w:eastAsia="Times New Roman" w:hAnsi="Arial" w:cs="Arial"/>
          <w:i/>
          <w:iCs/>
          <w:sz w:val="24"/>
          <w:szCs w:val="24"/>
          <w:lang w:eastAsia="en-AU"/>
        </w:rPr>
        <w:t>R v Cunningham</w:t>
      </w:r>
      <w:r w:rsidRPr="002D5610">
        <w:rPr>
          <w:rFonts w:ascii="Arial" w:eastAsia="Times New Roman" w:hAnsi="Arial" w:cs="Arial"/>
          <w:sz w:val="24"/>
          <w:szCs w:val="24"/>
          <w:lang w:eastAsia="en-AU"/>
        </w:rPr>
        <w:t xml:space="preserve"> [2005] QCA 321; R v Dean (2006) 45 MVR 542, 544</w:t>
      </w:r>
    </w:p>
    <w:p w14:paraId="1F7ECC13" w14:textId="77777777" w:rsidR="002D5610" w:rsidRPr="002D5610" w:rsidRDefault="002D5610" w:rsidP="002D5610">
      <w:pPr>
        <w:spacing w:after="0" w:line="240" w:lineRule="auto"/>
        <w:jc w:val="both"/>
        <w:rPr>
          <w:rFonts w:ascii="Arial" w:eastAsia="Times New Roman" w:hAnsi="Arial" w:cs="Arial"/>
          <w:sz w:val="24"/>
          <w:szCs w:val="24"/>
          <w:lang w:eastAsia="en-AU"/>
        </w:rPr>
      </w:pPr>
    </w:p>
    <w:p w14:paraId="5E67AE98" w14:textId="77777777" w:rsidR="002D5610" w:rsidRPr="002D5610" w:rsidRDefault="002D5610" w:rsidP="002D5610">
      <w:pPr>
        <w:spacing w:after="0" w:line="240" w:lineRule="auto"/>
        <w:jc w:val="both"/>
        <w:rPr>
          <w:rFonts w:ascii="Arial" w:eastAsia="Times New Roman" w:hAnsi="Arial" w:cs="Arial"/>
          <w:sz w:val="24"/>
          <w:szCs w:val="24"/>
          <w:lang w:eastAsia="en-AU"/>
        </w:rPr>
      </w:pPr>
      <w:r w:rsidRPr="002D5610">
        <w:rPr>
          <w:rFonts w:ascii="Arial" w:eastAsia="Times New Roman" w:hAnsi="Arial" w:cs="Arial"/>
          <w:sz w:val="24"/>
          <w:szCs w:val="24"/>
          <w:lang w:eastAsia="en-AU"/>
        </w:rPr>
        <w:t xml:space="preserve">- the consequences of the disqualification upon the offender’s future employment prospects;  </w:t>
      </w:r>
      <w:r w:rsidRPr="002D5610">
        <w:rPr>
          <w:rFonts w:ascii="Arial" w:eastAsia="Times New Roman" w:hAnsi="Arial" w:cs="Arial"/>
          <w:i/>
          <w:iCs/>
          <w:sz w:val="24"/>
          <w:szCs w:val="24"/>
          <w:lang w:eastAsia="en-AU"/>
        </w:rPr>
        <w:t>R v Plath</w:t>
      </w:r>
      <w:r w:rsidRPr="002D5610">
        <w:rPr>
          <w:rFonts w:ascii="Arial" w:eastAsia="Times New Roman" w:hAnsi="Arial" w:cs="Arial"/>
          <w:sz w:val="24"/>
          <w:szCs w:val="24"/>
          <w:lang w:eastAsia="en-AU"/>
        </w:rPr>
        <w:t xml:space="preserve"> [2003] QCA 567, [18-19]; </w:t>
      </w:r>
      <w:r w:rsidRPr="002D5610">
        <w:rPr>
          <w:rFonts w:ascii="Arial" w:eastAsia="Times New Roman" w:hAnsi="Arial" w:cs="Arial"/>
          <w:i/>
          <w:iCs/>
          <w:sz w:val="24"/>
          <w:szCs w:val="24"/>
          <w:lang w:eastAsia="en-AU"/>
        </w:rPr>
        <w:t>R v Cunningham</w:t>
      </w:r>
      <w:r w:rsidRPr="002D5610">
        <w:rPr>
          <w:rFonts w:ascii="Arial" w:eastAsia="Times New Roman" w:hAnsi="Arial" w:cs="Arial"/>
          <w:sz w:val="24"/>
          <w:szCs w:val="24"/>
          <w:lang w:eastAsia="en-AU"/>
        </w:rPr>
        <w:t xml:space="preserve"> [2005] QCA 321; </w:t>
      </w:r>
      <w:r w:rsidRPr="002D5610">
        <w:rPr>
          <w:rFonts w:ascii="Arial" w:eastAsia="Times New Roman" w:hAnsi="Arial" w:cs="Arial"/>
          <w:i/>
          <w:iCs/>
          <w:sz w:val="24"/>
          <w:szCs w:val="24"/>
          <w:lang w:eastAsia="en-AU"/>
        </w:rPr>
        <w:t>R v Dean</w:t>
      </w:r>
      <w:r w:rsidRPr="002D5610">
        <w:rPr>
          <w:rFonts w:ascii="Arial" w:eastAsia="Times New Roman" w:hAnsi="Arial" w:cs="Arial"/>
          <w:sz w:val="24"/>
          <w:szCs w:val="24"/>
          <w:lang w:eastAsia="en-AU"/>
        </w:rPr>
        <w:t xml:space="preserve"> (2006) 45 MVR 542, 544.</w:t>
      </w:r>
    </w:p>
    <w:p w14:paraId="4AA1F82D" w14:textId="77777777" w:rsidR="002D5610" w:rsidRPr="002D5610" w:rsidRDefault="002D5610" w:rsidP="002D5610">
      <w:pPr>
        <w:spacing w:after="0" w:line="240" w:lineRule="auto"/>
        <w:jc w:val="both"/>
        <w:rPr>
          <w:rFonts w:ascii="Arial" w:eastAsia="Times New Roman" w:hAnsi="Arial" w:cs="Arial"/>
          <w:sz w:val="24"/>
          <w:szCs w:val="24"/>
          <w:lang w:eastAsia="en-AU"/>
        </w:rPr>
      </w:pPr>
    </w:p>
    <w:p w14:paraId="42BAB2F6" w14:textId="700ADE36" w:rsidR="002D5610" w:rsidRDefault="002D5610" w:rsidP="002D5610">
      <w:pPr>
        <w:spacing w:after="0" w:line="240" w:lineRule="auto"/>
        <w:jc w:val="both"/>
        <w:rPr>
          <w:rFonts w:ascii="Arial" w:eastAsia="Times New Roman" w:hAnsi="Arial" w:cs="Arial"/>
          <w:sz w:val="24"/>
          <w:szCs w:val="24"/>
          <w:lang w:eastAsia="en-AU"/>
        </w:rPr>
      </w:pPr>
      <w:r w:rsidRPr="002D5610">
        <w:rPr>
          <w:rFonts w:ascii="Arial" w:eastAsia="Times New Roman" w:hAnsi="Arial" w:cs="Arial"/>
          <w:sz w:val="24"/>
          <w:szCs w:val="24"/>
          <w:lang w:eastAsia="en-AU"/>
        </w:rPr>
        <w:t xml:space="preserve">- the risk that the disqualification period may create a disincentive to rehabilitation on release from custody;  </w:t>
      </w:r>
      <w:r w:rsidRPr="002D5610">
        <w:rPr>
          <w:rFonts w:ascii="Arial" w:eastAsia="Times New Roman" w:hAnsi="Arial" w:cs="Arial"/>
          <w:i/>
          <w:iCs/>
          <w:sz w:val="24"/>
          <w:szCs w:val="24"/>
          <w:lang w:eastAsia="en-AU"/>
        </w:rPr>
        <w:t>R v Plath</w:t>
      </w:r>
      <w:r w:rsidRPr="002D5610">
        <w:rPr>
          <w:rFonts w:ascii="Arial" w:eastAsia="Times New Roman" w:hAnsi="Arial" w:cs="Arial"/>
          <w:sz w:val="24"/>
          <w:szCs w:val="24"/>
          <w:lang w:eastAsia="en-AU"/>
        </w:rPr>
        <w:t xml:space="preserve"> [2003] QCA 567, [18-19]</w:t>
      </w:r>
    </w:p>
    <w:p w14:paraId="6BFBBAE5" w14:textId="77777777" w:rsidR="002D5610" w:rsidRPr="002D5610" w:rsidRDefault="002D5610" w:rsidP="002D5610">
      <w:pPr>
        <w:spacing w:after="0" w:line="240" w:lineRule="auto"/>
        <w:jc w:val="both"/>
        <w:rPr>
          <w:rFonts w:ascii="Arial" w:eastAsia="Times New Roman" w:hAnsi="Arial" w:cs="Arial"/>
          <w:sz w:val="24"/>
          <w:szCs w:val="24"/>
          <w:lang w:eastAsia="en-AU"/>
        </w:rPr>
      </w:pPr>
    </w:p>
    <w:p w14:paraId="0F704E54" w14:textId="77777777" w:rsidR="002D5610" w:rsidRPr="002D5610" w:rsidRDefault="002D5610" w:rsidP="002D5610">
      <w:pPr>
        <w:spacing w:after="0" w:line="240" w:lineRule="auto"/>
        <w:jc w:val="both"/>
        <w:rPr>
          <w:rFonts w:ascii="Arial" w:eastAsia="Times New Roman" w:hAnsi="Arial" w:cs="Arial"/>
          <w:sz w:val="24"/>
          <w:szCs w:val="24"/>
          <w:lang w:eastAsia="en-AU"/>
        </w:rPr>
      </w:pPr>
      <w:r w:rsidRPr="002D5610">
        <w:rPr>
          <w:rFonts w:ascii="Arial" w:eastAsia="Times New Roman" w:hAnsi="Arial" w:cs="Arial"/>
          <w:sz w:val="24"/>
          <w:szCs w:val="24"/>
          <w:lang w:eastAsia="en-AU"/>
        </w:rPr>
        <w:t>- the extent to which the disqualification period will operate as an additional penalty to other penalties imposed.” (</w:t>
      </w:r>
      <w:r w:rsidRPr="002D5610">
        <w:rPr>
          <w:rFonts w:ascii="Arial" w:eastAsia="Times New Roman" w:hAnsi="Arial" w:cs="Arial"/>
          <w:i/>
          <w:iCs/>
          <w:sz w:val="24"/>
          <w:szCs w:val="24"/>
          <w:lang w:eastAsia="en-AU"/>
        </w:rPr>
        <w:t>R v Nhu Ly</w:t>
      </w:r>
      <w:r w:rsidRPr="002D5610">
        <w:rPr>
          <w:rFonts w:ascii="Arial" w:eastAsia="Times New Roman" w:hAnsi="Arial" w:cs="Arial"/>
          <w:sz w:val="24"/>
          <w:szCs w:val="24"/>
          <w:lang w:eastAsia="en-AU"/>
        </w:rPr>
        <w:t>). </w:t>
      </w:r>
    </w:p>
    <w:p w14:paraId="6279A084" w14:textId="77777777" w:rsidR="002D5610" w:rsidRPr="002D5610" w:rsidRDefault="002D5610" w:rsidP="002D5610">
      <w:pPr>
        <w:spacing w:after="0" w:line="240" w:lineRule="auto"/>
        <w:jc w:val="both"/>
        <w:rPr>
          <w:rFonts w:ascii="Arial" w:eastAsia="Times New Roman" w:hAnsi="Arial" w:cs="Arial"/>
          <w:sz w:val="24"/>
          <w:szCs w:val="24"/>
          <w:lang w:eastAsia="en-AU"/>
        </w:rPr>
      </w:pPr>
    </w:p>
    <w:p w14:paraId="6F0FC40A" w14:textId="77777777" w:rsidR="002D5610" w:rsidRPr="002D5610" w:rsidRDefault="002D5610" w:rsidP="002D5610">
      <w:pPr>
        <w:spacing w:after="0" w:line="240" w:lineRule="auto"/>
        <w:jc w:val="both"/>
        <w:rPr>
          <w:rFonts w:ascii="Arial" w:eastAsia="Times New Roman" w:hAnsi="Arial" w:cs="Arial"/>
          <w:sz w:val="24"/>
          <w:szCs w:val="24"/>
          <w:lang w:eastAsia="en-AU"/>
        </w:rPr>
      </w:pPr>
    </w:p>
    <w:p w14:paraId="4AE0968A" w14:textId="333DD801" w:rsidR="002D5610" w:rsidRPr="002D5610" w:rsidRDefault="002D5610" w:rsidP="002D5610">
      <w:pPr>
        <w:spacing w:after="0" w:line="240" w:lineRule="auto"/>
        <w:jc w:val="both"/>
        <w:rPr>
          <w:rFonts w:ascii="Arial" w:eastAsia="Times New Roman" w:hAnsi="Arial" w:cs="Arial"/>
          <w:sz w:val="24"/>
          <w:szCs w:val="24"/>
          <w:lang w:eastAsia="en-AU"/>
        </w:rPr>
      </w:pPr>
      <w:r w:rsidRPr="002D5610">
        <w:rPr>
          <w:rFonts w:ascii="Arial" w:eastAsia="Times New Roman" w:hAnsi="Arial" w:cs="Arial"/>
          <w:i/>
          <w:iCs/>
          <w:sz w:val="24"/>
          <w:szCs w:val="24"/>
          <w:lang w:eastAsia="en-AU"/>
        </w:rPr>
        <w:t>R v Nhu Ly </w:t>
      </w:r>
      <w:r w:rsidRPr="002D5610">
        <w:rPr>
          <w:rFonts w:ascii="Arial" w:eastAsia="Times New Roman" w:hAnsi="Arial" w:cs="Arial"/>
          <w:sz w:val="24"/>
          <w:szCs w:val="24"/>
          <w:lang w:eastAsia="en-AU"/>
        </w:rPr>
        <w:t xml:space="preserve">[1996] 1 Qd R 543:  Macrossan CJ stressed the desirability of the disqualification serving some purpose other than that served by other available punishments: “Although the discretion which arises is a broad one, it can be accepted that the disqualification, whilst it will operate as an additional penalty, </w:t>
      </w:r>
      <w:r w:rsidRPr="002D5610">
        <w:rPr>
          <w:rFonts w:ascii="Arial" w:eastAsia="Times New Roman" w:hAnsi="Arial" w:cs="Arial"/>
          <w:b/>
          <w:bCs/>
          <w:sz w:val="24"/>
          <w:szCs w:val="24"/>
          <w:lang w:eastAsia="en-AU"/>
        </w:rPr>
        <w:t>is not meant to be simply a gratuitous addition</w:t>
      </w:r>
      <w:r w:rsidRPr="002D5610">
        <w:rPr>
          <w:rFonts w:ascii="Arial" w:eastAsia="Times New Roman" w:hAnsi="Arial" w:cs="Arial"/>
          <w:sz w:val="24"/>
          <w:szCs w:val="24"/>
          <w:lang w:eastAsia="en-AU"/>
        </w:rPr>
        <w:t xml:space="preserve"> to other available punishments. There should be an apparent purpose in disqualification as such, rather than would, say, be served by a heavier fine or a longer prison term.”</w:t>
      </w:r>
    </w:p>
    <w:p w14:paraId="677D3CFF" w14:textId="77777777" w:rsidR="00D96261" w:rsidRPr="002D5610" w:rsidRDefault="00D96261" w:rsidP="002D5610">
      <w:pPr>
        <w:jc w:val="both"/>
        <w:rPr>
          <w:rFonts w:ascii="Arial" w:hAnsi="Arial" w:cs="Arial"/>
        </w:rPr>
      </w:pPr>
    </w:p>
    <w:sectPr w:rsidR="00D96261" w:rsidRPr="002D5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10"/>
    <w:rsid w:val="002D5610"/>
    <w:rsid w:val="003A0209"/>
    <w:rsid w:val="00B11DC5"/>
    <w:rsid w:val="00B1564C"/>
    <w:rsid w:val="00D962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138F"/>
  <w15:chartTrackingRefBased/>
  <w15:docId w15:val="{95244AE8-269A-4DA7-9A98-B5E42E93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5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306321">
      <w:bodyDiv w:val="1"/>
      <w:marLeft w:val="0"/>
      <w:marRight w:val="0"/>
      <w:marTop w:val="0"/>
      <w:marBottom w:val="0"/>
      <w:divBdr>
        <w:top w:val="none" w:sz="0" w:space="0" w:color="auto"/>
        <w:left w:val="none" w:sz="0" w:space="0" w:color="auto"/>
        <w:bottom w:val="none" w:sz="0" w:space="0" w:color="auto"/>
        <w:right w:val="none" w:sz="0" w:space="0" w:color="auto"/>
      </w:divBdr>
      <w:divsChild>
        <w:div w:id="436944205">
          <w:marLeft w:val="0"/>
          <w:marRight w:val="0"/>
          <w:marTop w:val="0"/>
          <w:marBottom w:val="0"/>
          <w:divBdr>
            <w:top w:val="none" w:sz="0" w:space="0" w:color="auto"/>
            <w:left w:val="none" w:sz="0" w:space="0" w:color="auto"/>
            <w:bottom w:val="none" w:sz="0" w:space="0" w:color="auto"/>
            <w:right w:val="none" w:sz="0" w:space="0" w:color="auto"/>
          </w:divBdr>
        </w:div>
        <w:div w:id="1395356344">
          <w:marLeft w:val="0"/>
          <w:marRight w:val="0"/>
          <w:marTop w:val="0"/>
          <w:marBottom w:val="0"/>
          <w:divBdr>
            <w:top w:val="none" w:sz="0" w:space="0" w:color="auto"/>
            <w:left w:val="none" w:sz="0" w:space="0" w:color="auto"/>
            <w:bottom w:val="none" w:sz="0" w:space="0" w:color="auto"/>
            <w:right w:val="none" w:sz="0" w:space="0" w:color="auto"/>
          </w:divBdr>
        </w:div>
        <w:div w:id="571736415">
          <w:marLeft w:val="0"/>
          <w:marRight w:val="0"/>
          <w:marTop w:val="0"/>
          <w:marBottom w:val="0"/>
          <w:divBdr>
            <w:top w:val="none" w:sz="0" w:space="0" w:color="auto"/>
            <w:left w:val="none" w:sz="0" w:space="0" w:color="auto"/>
            <w:bottom w:val="none" w:sz="0" w:space="0" w:color="auto"/>
            <w:right w:val="none" w:sz="0" w:space="0" w:color="auto"/>
          </w:divBdr>
        </w:div>
        <w:div w:id="708535910">
          <w:marLeft w:val="0"/>
          <w:marRight w:val="0"/>
          <w:marTop w:val="0"/>
          <w:marBottom w:val="0"/>
          <w:divBdr>
            <w:top w:val="none" w:sz="0" w:space="0" w:color="auto"/>
            <w:left w:val="none" w:sz="0" w:space="0" w:color="auto"/>
            <w:bottom w:val="none" w:sz="0" w:space="0" w:color="auto"/>
            <w:right w:val="none" w:sz="0" w:space="0" w:color="auto"/>
          </w:divBdr>
        </w:div>
        <w:div w:id="249393095">
          <w:marLeft w:val="0"/>
          <w:marRight w:val="0"/>
          <w:marTop w:val="0"/>
          <w:marBottom w:val="0"/>
          <w:divBdr>
            <w:top w:val="none" w:sz="0" w:space="0" w:color="auto"/>
            <w:left w:val="none" w:sz="0" w:space="0" w:color="auto"/>
            <w:bottom w:val="none" w:sz="0" w:space="0" w:color="auto"/>
            <w:right w:val="none" w:sz="0" w:space="0" w:color="auto"/>
          </w:divBdr>
        </w:div>
        <w:div w:id="1441872683">
          <w:marLeft w:val="0"/>
          <w:marRight w:val="0"/>
          <w:marTop w:val="0"/>
          <w:marBottom w:val="0"/>
          <w:divBdr>
            <w:top w:val="none" w:sz="0" w:space="0" w:color="auto"/>
            <w:left w:val="none" w:sz="0" w:space="0" w:color="auto"/>
            <w:bottom w:val="none" w:sz="0" w:space="0" w:color="auto"/>
            <w:right w:val="none" w:sz="0" w:space="0" w:color="auto"/>
          </w:divBdr>
        </w:div>
        <w:div w:id="1962109455">
          <w:marLeft w:val="0"/>
          <w:marRight w:val="0"/>
          <w:marTop w:val="0"/>
          <w:marBottom w:val="0"/>
          <w:divBdr>
            <w:top w:val="none" w:sz="0" w:space="0" w:color="auto"/>
            <w:left w:val="none" w:sz="0" w:space="0" w:color="auto"/>
            <w:bottom w:val="none" w:sz="0" w:space="0" w:color="auto"/>
            <w:right w:val="none" w:sz="0" w:space="0" w:color="auto"/>
          </w:divBdr>
        </w:div>
        <w:div w:id="1560553607">
          <w:marLeft w:val="0"/>
          <w:marRight w:val="0"/>
          <w:marTop w:val="0"/>
          <w:marBottom w:val="0"/>
          <w:divBdr>
            <w:top w:val="none" w:sz="0" w:space="0" w:color="auto"/>
            <w:left w:val="none" w:sz="0" w:space="0" w:color="auto"/>
            <w:bottom w:val="none" w:sz="0" w:space="0" w:color="auto"/>
            <w:right w:val="none" w:sz="0" w:space="0" w:color="auto"/>
          </w:divBdr>
        </w:div>
        <w:div w:id="1157646589">
          <w:marLeft w:val="0"/>
          <w:marRight w:val="0"/>
          <w:marTop w:val="0"/>
          <w:marBottom w:val="0"/>
          <w:divBdr>
            <w:top w:val="none" w:sz="0" w:space="0" w:color="auto"/>
            <w:left w:val="none" w:sz="0" w:space="0" w:color="auto"/>
            <w:bottom w:val="none" w:sz="0" w:space="0" w:color="auto"/>
            <w:right w:val="none" w:sz="0" w:space="0" w:color="auto"/>
          </w:divBdr>
        </w:div>
        <w:div w:id="982657287">
          <w:marLeft w:val="0"/>
          <w:marRight w:val="0"/>
          <w:marTop w:val="0"/>
          <w:marBottom w:val="0"/>
          <w:divBdr>
            <w:top w:val="none" w:sz="0" w:space="0" w:color="auto"/>
            <w:left w:val="none" w:sz="0" w:space="0" w:color="auto"/>
            <w:bottom w:val="none" w:sz="0" w:space="0" w:color="auto"/>
            <w:right w:val="none" w:sz="0" w:space="0" w:color="auto"/>
          </w:divBdr>
        </w:div>
        <w:div w:id="232666163">
          <w:marLeft w:val="0"/>
          <w:marRight w:val="0"/>
          <w:marTop w:val="0"/>
          <w:marBottom w:val="0"/>
          <w:divBdr>
            <w:top w:val="none" w:sz="0" w:space="0" w:color="auto"/>
            <w:left w:val="none" w:sz="0" w:space="0" w:color="auto"/>
            <w:bottom w:val="none" w:sz="0" w:space="0" w:color="auto"/>
            <w:right w:val="none" w:sz="0" w:space="0" w:color="auto"/>
          </w:divBdr>
        </w:div>
        <w:div w:id="243689812">
          <w:marLeft w:val="0"/>
          <w:marRight w:val="0"/>
          <w:marTop w:val="0"/>
          <w:marBottom w:val="0"/>
          <w:divBdr>
            <w:top w:val="none" w:sz="0" w:space="0" w:color="auto"/>
            <w:left w:val="none" w:sz="0" w:space="0" w:color="auto"/>
            <w:bottom w:val="none" w:sz="0" w:space="0" w:color="auto"/>
            <w:right w:val="none" w:sz="0" w:space="0" w:color="auto"/>
          </w:divBdr>
        </w:div>
        <w:div w:id="1855150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chive.sclqld.org.au/qjudgment/2014/QCA14-291.pdf" TargetMode="External"/><Relationship Id="rId4" Type="http://schemas.openxmlformats.org/officeDocument/2006/relationships/hyperlink" Target="https://archive.sclqld.org.au/qjudgment/2022/QDC22-1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1539</Characters>
  <Application>Microsoft Office Word</Application>
  <DocSecurity>0</DocSecurity>
  <Lines>109</Lines>
  <Paragraphs>83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Torcetti</dc:creator>
  <cp:keywords/>
  <dc:description/>
  <cp:lastModifiedBy>James Torcetti</cp:lastModifiedBy>
  <cp:revision>2</cp:revision>
  <dcterms:created xsi:type="dcterms:W3CDTF">2022-08-16T04:53:00Z</dcterms:created>
  <dcterms:modified xsi:type="dcterms:W3CDTF">2022-08-16T04:53:00Z</dcterms:modified>
</cp:coreProperties>
</file>