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CFC2A" w14:textId="047545B7" w:rsidR="00D96261" w:rsidRPr="00FD10DF" w:rsidRDefault="00E049AD" w:rsidP="00FD10DF">
      <w:pPr>
        <w:pBdr>
          <w:bottom w:val="single" w:sz="4" w:space="1" w:color="auto"/>
        </w:pBdr>
        <w:jc w:val="center"/>
        <w:rPr>
          <w:b/>
          <w:bCs/>
        </w:rPr>
      </w:pPr>
      <w:r w:rsidRPr="00FD10DF">
        <w:rPr>
          <w:b/>
          <w:bCs/>
        </w:rPr>
        <w:t>Jurisdiction and Appeals</w:t>
      </w:r>
    </w:p>
    <w:p w14:paraId="70D995BD" w14:textId="787567EB" w:rsidR="00E049AD" w:rsidRDefault="00FD10DF" w:rsidP="00FD10DF">
      <w:pPr>
        <w:pBdr>
          <w:top w:val="single" w:sz="4" w:space="1" w:color="auto"/>
          <w:left w:val="single" w:sz="4" w:space="4" w:color="auto"/>
          <w:bottom w:val="single" w:sz="4" w:space="1" w:color="auto"/>
          <w:right w:val="single" w:sz="4" w:space="4" w:color="auto"/>
        </w:pBdr>
      </w:pPr>
      <w:r>
        <w:t xml:space="preserve">Magistrate – Appeal to District Court – Appeal to Queensland Court of Appeal </w:t>
      </w:r>
    </w:p>
    <w:p w14:paraId="4B20A98B" w14:textId="3EC834B2" w:rsidR="00FD10DF" w:rsidRDefault="00FD10DF" w:rsidP="00FD10DF">
      <w:pPr>
        <w:pBdr>
          <w:top w:val="single" w:sz="4" w:space="1" w:color="auto"/>
          <w:left w:val="single" w:sz="4" w:space="4" w:color="auto"/>
          <w:bottom w:val="single" w:sz="4" w:space="1" w:color="auto"/>
          <w:right w:val="single" w:sz="4" w:space="4" w:color="auto"/>
        </w:pBdr>
      </w:pPr>
      <w:r>
        <w:t xml:space="preserve">District Court – Appeal to the Queensland Court of Appeal </w:t>
      </w:r>
    </w:p>
    <w:p w14:paraId="219A69E8" w14:textId="23EA39D6" w:rsidR="00FD10DF" w:rsidRDefault="00FD10DF" w:rsidP="00FD10DF">
      <w:pPr>
        <w:pBdr>
          <w:top w:val="single" w:sz="4" w:space="1" w:color="auto"/>
          <w:left w:val="single" w:sz="4" w:space="4" w:color="auto"/>
          <w:bottom w:val="single" w:sz="4" w:space="1" w:color="auto"/>
          <w:right w:val="single" w:sz="4" w:space="4" w:color="auto"/>
        </w:pBdr>
      </w:pPr>
      <w:r>
        <w:t xml:space="preserve">Supreme Court – Appeal to the Queensland Court of Appeal </w:t>
      </w:r>
    </w:p>
    <w:p w14:paraId="18F14688" w14:textId="4F61CCDE" w:rsidR="00FD10DF" w:rsidRDefault="00FD10DF" w:rsidP="00FD10DF">
      <w:pPr>
        <w:jc w:val="both"/>
      </w:pPr>
      <w:r w:rsidRPr="00FD10DF">
        <w:t xml:space="preserve">Magistrates Court </w:t>
      </w:r>
      <w:r>
        <w:t>to the District Court via</w:t>
      </w:r>
      <w:r w:rsidRPr="00FD10DF">
        <w:t xml:space="preserve"> s 222 of the </w:t>
      </w:r>
      <w:hyperlink r:id="rId7" w:history="1">
        <w:r w:rsidRPr="00FD10DF">
          <w:rPr>
            <w:rStyle w:val="Hyperlink"/>
            <w:i/>
            <w:iCs/>
          </w:rPr>
          <w:t>Justices Act</w:t>
        </w:r>
      </w:hyperlink>
      <w:r w:rsidRPr="00FD10DF">
        <w:rPr>
          <w:i/>
          <w:iCs/>
        </w:rPr>
        <w:t xml:space="preserve"> </w:t>
      </w:r>
      <w:r>
        <w:t>within 1 month</w:t>
      </w:r>
      <w:r w:rsidRPr="00FD10DF">
        <w:t>.</w:t>
      </w:r>
      <w:r w:rsidRPr="00FD10DF">
        <w:rPr>
          <w:rStyle w:val="FootnoteReference"/>
        </w:rPr>
        <w:t xml:space="preserve"> </w:t>
      </w:r>
      <w:r>
        <w:rPr>
          <w:rStyle w:val="FootnoteReference"/>
        </w:rPr>
        <w:footnoteReference w:id="1"/>
      </w:r>
      <w:r w:rsidRPr="00FD10DF">
        <w:t xml:space="preserve"> Appeals from the DC and SC are by leave only</w:t>
      </w:r>
      <w:r>
        <w:t xml:space="preserve"> to the Queensland Court of Appeal within one month</w:t>
      </w:r>
      <w:r>
        <w:rPr>
          <w:rStyle w:val="FootnoteReference"/>
        </w:rPr>
        <w:footnoteReference w:id="2"/>
      </w:r>
      <w:r w:rsidRPr="00FD10DF">
        <w:t xml:space="preserve">. </w:t>
      </w:r>
      <w:r>
        <w:t>Appeal to the QCA m</w:t>
      </w:r>
      <w:r w:rsidRPr="00FD10DF">
        <w:t xml:space="preserve">ust show grounds for the appeal, before the appeal will be decided. </w:t>
      </w:r>
      <w:r>
        <w:t>In practice leave is usually considered with the grounds of the appeal.</w:t>
      </w:r>
      <w:r>
        <w:rPr>
          <w:rStyle w:val="FootnoteReference"/>
        </w:rPr>
        <w:footnoteReference w:id="3"/>
      </w:r>
      <w:r>
        <w:t xml:space="preserve"> If the appeal is on a question of law,</w:t>
      </w:r>
      <w:r w:rsidRPr="00FD10DF">
        <w:t xml:space="preserve"> no leave is needed.</w:t>
      </w:r>
      <w:r w:rsidRPr="00FD10DF">
        <w:rPr>
          <w:rStyle w:val="FootnoteReference"/>
        </w:rPr>
        <w:footnoteReference w:id="4"/>
      </w:r>
      <w:r w:rsidRPr="00FD10DF">
        <w:t xml:space="preserve"> (</w:t>
      </w:r>
      <w:r w:rsidRPr="00FD10DF">
        <w:rPr>
          <w:i/>
          <w:iCs/>
        </w:rPr>
        <w:t>Note, this requirement of leave might now be an issue worthy of ventilation as it restricts the right of a</w:t>
      </w:r>
      <w:r w:rsidRPr="00FD10DF">
        <w:rPr>
          <w:i/>
          <w:iCs/>
        </w:rPr>
        <w:t xml:space="preserve"> person convicted of a criminal offence has the right to have</w:t>
      </w:r>
      <w:r w:rsidRPr="00FD10DF">
        <w:rPr>
          <w:i/>
          <w:iCs/>
        </w:rPr>
        <w:t xml:space="preserve"> </w:t>
      </w:r>
      <w:r w:rsidRPr="00FD10DF">
        <w:rPr>
          <w:i/>
          <w:iCs/>
        </w:rPr>
        <w:t>the conviction and any sentence imposed in relation to it</w:t>
      </w:r>
      <w:r w:rsidRPr="00FD10DF">
        <w:rPr>
          <w:i/>
          <w:iCs/>
        </w:rPr>
        <w:t xml:space="preserve"> </w:t>
      </w:r>
      <w:r w:rsidRPr="00FD10DF">
        <w:rPr>
          <w:i/>
          <w:iCs/>
        </w:rPr>
        <w:t>reviewed by a higher court in accordance with la</w:t>
      </w:r>
      <w:r w:rsidRPr="00FD10DF">
        <w:rPr>
          <w:i/>
          <w:iCs/>
        </w:rPr>
        <w:t>w.</w:t>
      </w:r>
      <w:r>
        <w:t>)</w:t>
      </w:r>
      <w:r w:rsidRPr="00FD10DF">
        <w:rPr>
          <w:rStyle w:val="FootnoteReference"/>
        </w:rPr>
        <w:footnoteReference w:id="5"/>
      </w:r>
      <w:r>
        <w:t xml:space="preserve"> The AG may appeal against sentence or a stay of indictment.</w:t>
      </w:r>
      <w:r>
        <w:rPr>
          <w:rStyle w:val="FootnoteReference"/>
        </w:rPr>
        <w:footnoteReference w:id="6"/>
      </w:r>
      <w:r>
        <w:t xml:space="preserve"> The AG cannot appeal against an acquittal, but on a point of law arising from the trial, but the court’s decision cannot affect the acquittal.</w:t>
      </w:r>
      <w:r>
        <w:rPr>
          <w:rStyle w:val="FootnoteReference"/>
        </w:rPr>
        <w:footnoteReference w:id="7"/>
      </w:r>
      <w:r>
        <w:t xml:space="preserve"> A trial judge may also refer a question of to the CQA as a “case stated” under 668B. Where a “case stated” is referred, the trial continues, and the effect of any final order is deferred until the QCA decides. </w:t>
      </w:r>
    </w:p>
    <w:p w14:paraId="09639ED6" w14:textId="0BA348D5" w:rsidR="00FD10DF" w:rsidRPr="00FD10DF" w:rsidRDefault="00FD10DF" w:rsidP="00FD10DF">
      <w:pPr>
        <w:jc w:val="both"/>
        <w:rPr>
          <w:b/>
          <w:bCs/>
        </w:rPr>
      </w:pPr>
      <w:r w:rsidRPr="00FD10DF">
        <w:rPr>
          <w:b/>
          <w:bCs/>
        </w:rPr>
        <w:t>Appeal against conviction</w:t>
      </w:r>
    </w:p>
    <w:p w14:paraId="0BC90417" w14:textId="4FE1B856" w:rsidR="00FD10DF" w:rsidRDefault="00FD10DF" w:rsidP="00FD10DF">
      <w:pPr>
        <w:jc w:val="both"/>
      </w:pPr>
      <w:r w:rsidRPr="00FD10DF">
        <w:rPr>
          <w:i/>
          <w:iCs/>
          <w:u w:val="single"/>
        </w:rPr>
        <w:t>1.</w:t>
      </w:r>
      <w:r>
        <w:rPr>
          <w:i/>
          <w:iCs/>
          <w:u w:val="single"/>
        </w:rPr>
        <w:t xml:space="preserve"> </w:t>
      </w:r>
      <w:r w:rsidRPr="00FD10DF">
        <w:rPr>
          <w:i/>
          <w:iCs/>
          <w:u w:val="single"/>
        </w:rPr>
        <w:t>Unreasonable or cannot be supported by the evidence</w:t>
      </w:r>
      <w:r>
        <w:t>: This ground of appeal seeks to displace the powers of a jury, so the threshold is exceptionally high.</w:t>
      </w:r>
      <w:r>
        <w:rPr>
          <w:rStyle w:val="FootnoteReference"/>
        </w:rPr>
        <w:footnoteReference w:id="8"/>
      </w:r>
      <w:r>
        <w:t xml:space="preserve"> The question is whether or “open” to the jury on </w:t>
      </w:r>
      <w:proofErr w:type="gramStart"/>
      <w:r>
        <w:t>all of</w:t>
      </w:r>
      <w:proofErr w:type="gramEnd"/>
      <w:r>
        <w:t xml:space="preserve"> the evidence, this ground is restricted to issues of fact.</w:t>
      </w:r>
      <w:r>
        <w:rPr>
          <w:rStyle w:val="FootnoteReference"/>
        </w:rPr>
        <w:footnoteReference w:id="9"/>
      </w:r>
      <w:r>
        <w:t xml:space="preserve"> However, the ground overlaps with a miscarriage of justice so where this ground may fail, the other ground may be open. </w:t>
      </w:r>
    </w:p>
    <w:p w14:paraId="55E72EB6" w14:textId="7CCD508C" w:rsidR="00FD10DF" w:rsidRPr="00FD10DF" w:rsidRDefault="00FD10DF" w:rsidP="00FD10DF">
      <w:pPr>
        <w:jc w:val="both"/>
      </w:pPr>
      <w:r>
        <w:rPr>
          <w:i/>
          <w:iCs/>
          <w:u w:val="single"/>
        </w:rPr>
        <w:t>2. Wrong decision on any question of law</w:t>
      </w:r>
      <w:r>
        <w:rPr>
          <w:b/>
          <w:bCs/>
          <w:i/>
          <w:iCs/>
        </w:rPr>
        <w:t xml:space="preserve">: </w:t>
      </w:r>
      <w:r>
        <w:t xml:space="preserve">Where the trial court made </w:t>
      </w:r>
      <w:proofErr w:type="gramStart"/>
      <w:r>
        <w:t>an</w:t>
      </w:r>
      <w:proofErr w:type="gramEnd"/>
      <w:r>
        <w:t xml:space="preserve"> decision on admissibility of evidence, standards and onus of proof, misdirection or non-direction to a jury. </w:t>
      </w:r>
      <w:proofErr w:type="spellStart"/>
      <w:proofErr w:type="gramStart"/>
      <w:r w:rsidRPr="00FD10DF">
        <w:rPr>
          <w:i/>
          <w:iCs/>
        </w:rPr>
        <w:t>Fingleton</w:t>
      </w:r>
      <w:proofErr w:type="spellEnd"/>
      <w:r w:rsidRPr="00FD10DF">
        <w:rPr>
          <w:i/>
          <w:iCs/>
        </w:rPr>
        <w:t xml:space="preserve">  v</w:t>
      </w:r>
      <w:proofErr w:type="gramEnd"/>
      <w:r w:rsidRPr="00FD10DF">
        <w:rPr>
          <w:i/>
          <w:iCs/>
        </w:rPr>
        <w:t xml:space="preserve"> The Queen</w:t>
      </w:r>
      <w:r w:rsidRPr="00FD10DF">
        <w:rPr>
          <w:rStyle w:val="FootnoteReference"/>
          <w:i/>
          <w:iCs/>
        </w:rPr>
        <w:footnoteReference w:id="10"/>
      </w:r>
      <w:r>
        <w:t xml:space="preserve"> is an example where all parties overlooked the total immunity a Chief Magistrate had to a charge of unlawful retaliation of a witness. </w:t>
      </w:r>
    </w:p>
    <w:p w14:paraId="699095A1" w14:textId="293CA246" w:rsidR="00FD10DF" w:rsidRPr="00FD10DF" w:rsidRDefault="00FD10DF" w:rsidP="00FD10DF">
      <w:pPr>
        <w:jc w:val="both"/>
        <w:rPr>
          <w:i/>
          <w:iCs/>
        </w:rPr>
      </w:pPr>
      <w:r>
        <w:rPr>
          <w:i/>
          <w:iCs/>
          <w:u w:val="single"/>
        </w:rPr>
        <w:t xml:space="preserve">3. </w:t>
      </w:r>
      <w:r w:rsidRPr="00FD10DF">
        <w:rPr>
          <w:i/>
          <w:iCs/>
          <w:u w:val="single"/>
        </w:rPr>
        <w:t>Miscarriage of justice</w:t>
      </w:r>
      <w:r>
        <w:rPr>
          <w:i/>
          <w:iCs/>
        </w:rPr>
        <w:t>: this is an overarching, catch all discretion at CC 668E, it may be sufficient to demonstrate only the appearance of a miscarriage of justice.</w:t>
      </w:r>
      <w:r>
        <w:rPr>
          <w:rStyle w:val="FootnoteReference"/>
          <w:i/>
          <w:iCs/>
        </w:rPr>
        <w:footnoteReference w:id="11"/>
      </w:r>
      <w:r>
        <w:rPr>
          <w:i/>
          <w:iCs/>
        </w:rPr>
        <w:t xml:space="preserve"> </w:t>
      </w:r>
      <w:r>
        <w:t xml:space="preserve">The test was articulated </w:t>
      </w:r>
      <w:proofErr w:type="spellStart"/>
      <w:r>
        <w:t>Svabo</w:t>
      </w:r>
      <w:proofErr w:type="spellEnd"/>
      <w:r>
        <w:t xml:space="preserve"> as “</w:t>
      </w:r>
      <w:r>
        <w:rPr>
          <w:i/>
        </w:rPr>
        <w:t xml:space="preserve">whether, with knowledge relevant circumstances, an ordinary fair-minded in the position of the appellant to entertain a reasonable suspicion that justice had miscarriage”. </w:t>
      </w:r>
    </w:p>
    <w:p w14:paraId="08733E94" w14:textId="23A593FD" w:rsidR="00FD10DF" w:rsidRDefault="00FD10DF" w:rsidP="00FD10DF">
      <w:pPr>
        <w:jc w:val="both"/>
      </w:pPr>
      <w:r>
        <w:t xml:space="preserve">Limited circumstances allow an appeal </w:t>
      </w:r>
      <w:proofErr w:type="gramStart"/>
      <w:r>
        <w:t>on the basis of</w:t>
      </w:r>
      <w:proofErr w:type="gramEnd"/>
      <w:r>
        <w:t xml:space="preserve"> new of fresh evidence.</w:t>
      </w:r>
      <w:r>
        <w:rPr>
          <w:rStyle w:val="FootnoteReference"/>
        </w:rPr>
        <w:footnoteReference w:id="12"/>
      </w:r>
      <w:r>
        <w:t xml:space="preserve"> Different was explained by McMurdo </w:t>
      </w:r>
      <w:proofErr w:type="spellStart"/>
      <w:r>
        <w:t>P in</w:t>
      </w:r>
      <w:proofErr w:type="spellEnd"/>
      <w:r>
        <w:t xml:space="preserve"> R v GAM [2011} QCA 288 [43]: “</w:t>
      </w:r>
      <w:r w:rsidRPr="00FD10DF">
        <w:rPr>
          <w:i/>
          <w:iCs/>
        </w:rPr>
        <w:t xml:space="preserve">Fresh evidence is evidence which either did not exist at the time trial or which could not then with reasonable diligence have been discovered. </w:t>
      </w:r>
      <w:r w:rsidRPr="00FD10DF">
        <w:rPr>
          <w:i/>
          <w:iCs/>
        </w:rPr>
        <w:lastRenderedPageBreak/>
        <w:t>New or further evidence is evidence on which a party seeks to rely available at the trial could, diligence, have been discovered.</w:t>
      </w:r>
      <w:r>
        <w:t xml:space="preserve">” </w:t>
      </w:r>
    </w:p>
    <w:p w14:paraId="2A96B386" w14:textId="71EFFCA3" w:rsidR="00FD10DF" w:rsidRDefault="00FD10DF" w:rsidP="00FD10DF">
      <w:pPr>
        <w:jc w:val="both"/>
        <w:rPr>
          <w:b/>
          <w:bCs/>
        </w:rPr>
      </w:pPr>
      <w:r>
        <w:rPr>
          <w:b/>
          <w:bCs/>
        </w:rPr>
        <w:t xml:space="preserve">You got Grounds – Good for you – but now – “The Proviso” </w:t>
      </w:r>
    </w:p>
    <w:p w14:paraId="16CE190C" w14:textId="22D42C3A" w:rsidR="00FD10DF" w:rsidRDefault="00FD10DF" w:rsidP="00FD10DF">
      <w:pPr>
        <w:jc w:val="both"/>
      </w:pPr>
      <w:r>
        <w:t xml:space="preserve">If the ground of the appeal would not have resulted in any substantial miscarriage of justice occurring, s 668E(1A) the court can still refuse to allow the appeal. The test in QLD, taken from </w:t>
      </w:r>
      <w:r>
        <w:rPr>
          <w:i/>
          <w:iCs/>
        </w:rPr>
        <w:t>Wilde</w:t>
      </w:r>
      <w:r>
        <w:rPr>
          <w:rStyle w:val="FootnoteReference"/>
          <w:i/>
          <w:iCs/>
        </w:rPr>
        <w:footnoteReference w:id="13"/>
      </w:r>
      <w:r>
        <w:rPr>
          <w:i/>
          <w:iCs/>
        </w:rPr>
        <w:t xml:space="preserve">, </w:t>
      </w:r>
      <w:r>
        <w:t xml:space="preserve">as applied in </w:t>
      </w:r>
      <w:proofErr w:type="spellStart"/>
      <w:r w:rsidRPr="00FD10DF">
        <w:rPr>
          <w:i/>
          <w:iCs/>
        </w:rPr>
        <w:t>Baini</w:t>
      </w:r>
      <w:proofErr w:type="spellEnd"/>
      <w:r>
        <w:rPr>
          <w:rStyle w:val="FootnoteReference"/>
        </w:rPr>
        <w:footnoteReference w:id="14"/>
      </w:r>
      <w:r>
        <w:t xml:space="preserve"> was articulated in </w:t>
      </w:r>
      <w:r w:rsidRPr="00FD10DF">
        <w:rPr>
          <w:i/>
          <w:iCs/>
        </w:rPr>
        <w:t xml:space="preserve">R v Conde </w:t>
      </w:r>
      <w:r>
        <w:t xml:space="preserve">[1016] 1 </w:t>
      </w:r>
      <w:proofErr w:type="spellStart"/>
      <w:r>
        <w:t>Qd</w:t>
      </w:r>
      <w:proofErr w:type="spellEnd"/>
      <w:r>
        <w:t xml:space="preserve"> R 562 by Lyons “</w:t>
      </w:r>
      <w:r w:rsidRPr="00FD10DF">
        <w:rPr>
          <w:i/>
          <w:iCs/>
        </w:rPr>
        <w:t>the inquiry to be made is whether a guilty verdict was inevitable not whether a guilty verdict was open</w:t>
      </w:r>
      <w:r>
        <w:t xml:space="preserve">”. The test for substantial miscarriage of justice is not defined, deficits in the trial and issues of law may still result in there being a miscarriage even where there was a strong case against the accused. </w:t>
      </w:r>
    </w:p>
    <w:p w14:paraId="75D6F536" w14:textId="3095CE3F" w:rsidR="00FD10DF" w:rsidRPr="00FD10DF" w:rsidRDefault="00FD10DF" w:rsidP="00FD10DF">
      <w:pPr>
        <w:jc w:val="both"/>
        <w:rPr>
          <w:b/>
          <w:bCs/>
        </w:rPr>
      </w:pPr>
      <w:r w:rsidRPr="00FD10DF">
        <w:rPr>
          <w:b/>
          <w:bCs/>
        </w:rPr>
        <w:t xml:space="preserve">Ordering a new trial </w:t>
      </w:r>
    </w:p>
    <w:p w14:paraId="7E1603F3" w14:textId="4C9B8D57" w:rsidR="00FD10DF" w:rsidRDefault="00FD10DF" w:rsidP="00FD10DF">
      <w:pPr>
        <w:jc w:val="both"/>
      </w:pPr>
      <w:r>
        <w:t>If there has been a miscarriage of justice, an no other order can remedy the issue, the appeal court can order a re-trial.</w:t>
      </w:r>
      <w:r>
        <w:rPr>
          <w:rStyle w:val="FootnoteReference"/>
        </w:rPr>
        <w:footnoteReference w:id="15"/>
      </w:r>
      <w:r>
        <w:t xml:space="preserve"> The decision is viewed through the cogency of the evidence and if it would be unjust to order a new trial. </w:t>
      </w:r>
    </w:p>
    <w:p w14:paraId="068A2D15" w14:textId="46510021" w:rsidR="00FD10DF" w:rsidRPr="00FD10DF" w:rsidRDefault="00FD10DF" w:rsidP="00FD10DF">
      <w:pPr>
        <w:jc w:val="both"/>
        <w:rPr>
          <w:b/>
          <w:bCs/>
        </w:rPr>
      </w:pPr>
      <w:r w:rsidRPr="00FD10DF">
        <w:rPr>
          <w:b/>
          <w:bCs/>
        </w:rPr>
        <w:t xml:space="preserve">Appeals against sentence </w:t>
      </w:r>
    </w:p>
    <w:p w14:paraId="2C7ECDDA" w14:textId="2FCA719C" w:rsidR="00FD10DF" w:rsidRPr="00FD10DF" w:rsidRDefault="00FD10DF" w:rsidP="00FD10DF">
      <w:pPr>
        <w:jc w:val="both"/>
      </w:pPr>
      <w:r>
        <w:t>Via s 222 of the Justices Act from the Magistrates Court to the District Court. From the District and Supreme Courts to the Court of Appeal via s 668(D)(1)(c). If the appellant is the defendant, if the QCA is going to increase the penalty (but not if the effective structure will still be less), the Court must give the appellant notice so that they can withdraw the appeal.</w:t>
      </w:r>
      <w:r>
        <w:rPr>
          <w:rStyle w:val="FootnoteReference"/>
        </w:rPr>
        <w:footnoteReference w:id="16"/>
      </w:r>
      <w:r>
        <w:t xml:space="preserve"> This does not apply to appeals of this nature by the Attorney General under s 669</w:t>
      </w:r>
      <w:proofErr w:type="gramStart"/>
      <w:r>
        <w:t>A(</w:t>
      </w:r>
      <w:proofErr w:type="gramEnd"/>
      <w:r>
        <w:t xml:space="preserve">1). There has been some back and forth over the power of the AG to appeal, in 2011 the High Court settled that there needs to be an error by the sentencing judge before the QCA can act </w:t>
      </w:r>
      <w:r w:rsidRPr="00FD10DF">
        <w:rPr>
          <w:i/>
          <w:iCs/>
        </w:rPr>
        <w:t>Lacey v Attorney-General</w:t>
      </w:r>
      <w:r>
        <w:t xml:space="preserve"> (2011) 242 CLR 573. </w:t>
      </w:r>
    </w:p>
    <w:p w14:paraId="2720AB5D" w14:textId="7271E794" w:rsidR="00FD10DF" w:rsidRPr="00FD10DF" w:rsidRDefault="00FD10DF" w:rsidP="00FD10DF">
      <w:pPr>
        <w:jc w:val="both"/>
        <w:rPr>
          <w:b/>
          <w:bCs/>
        </w:rPr>
      </w:pPr>
      <w:r w:rsidRPr="00FD10DF">
        <w:rPr>
          <w:b/>
          <w:bCs/>
        </w:rPr>
        <w:t xml:space="preserve">The High Court </w:t>
      </w:r>
    </w:p>
    <w:p w14:paraId="080168B3" w14:textId="5A4B7940" w:rsidR="00FD10DF" w:rsidRDefault="00FD10DF" w:rsidP="00FD10DF">
      <w:pPr>
        <w:jc w:val="both"/>
      </w:pPr>
      <w:r>
        <w:t>Appeals to the High Court are by leave from the State Courts in their Federal Jurisdiction.</w:t>
      </w:r>
      <w:r>
        <w:rPr>
          <w:rStyle w:val="FootnoteReference"/>
        </w:rPr>
        <w:footnoteReference w:id="17"/>
      </w:r>
      <w:r>
        <w:t xml:space="preserve"> In seeking leave as the last appellant court, the application should show there is a question of law that: is of public importance because of his general application or otherwise or would resolve differences of opinion between different courts or within one court as to the state of the law and whether in the interests of the administration of justice are generally or specifically by the High Court.</w:t>
      </w:r>
      <w:r>
        <w:rPr>
          <w:rStyle w:val="FootnoteReference"/>
        </w:rPr>
        <w:footnoteReference w:id="18"/>
      </w:r>
      <w:r>
        <w:t xml:space="preserve"> </w:t>
      </w:r>
    </w:p>
    <w:p w14:paraId="7205052D" w14:textId="77777777" w:rsidR="00FD10DF" w:rsidRDefault="00FD10DF" w:rsidP="00FD10DF">
      <w:pPr>
        <w:jc w:val="both"/>
      </w:pPr>
    </w:p>
    <w:p w14:paraId="522FE7E8" w14:textId="77777777" w:rsidR="00FD10DF" w:rsidRDefault="00FD10DF"/>
    <w:p w14:paraId="4C5ACC07" w14:textId="77777777" w:rsidR="00FD10DF" w:rsidRDefault="00FD10DF">
      <w:r>
        <w:br w:type="page"/>
      </w:r>
    </w:p>
    <w:p w14:paraId="184FB7F9" w14:textId="77777777" w:rsidR="00FD10DF" w:rsidRDefault="00FD10DF">
      <w:r>
        <w:lastRenderedPageBreak/>
        <w:t>Criminal Code QLD – Appeal</w:t>
      </w:r>
    </w:p>
    <w:p w14:paraId="459B127C" w14:textId="4BEB2DFA" w:rsidR="00FD10DF" w:rsidRDefault="00FD10DF">
      <w:r w:rsidRPr="00FD10DF">
        <w:drawing>
          <wp:inline distT="0" distB="0" distL="0" distR="0" wp14:anchorId="3097460E" wp14:editId="36674F18">
            <wp:extent cx="4903076" cy="5852647"/>
            <wp:effectExtent l="0" t="0" r="0" b="0"/>
            <wp:docPr id="2" name="Picture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10;&#10;Description automatically generated"/>
                    <pic:cNvPicPr/>
                  </pic:nvPicPr>
                  <pic:blipFill>
                    <a:blip r:embed="rId8"/>
                    <a:stretch>
                      <a:fillRect/>
                    </a:stretch>
                  </pic:blipFill>
                  <pic:spPr>
                    <a:xfrm>
                      <a:off x="0" y="0"/>
                      <a:ext cx="4904384" cy="5854208"/>
                    </a:xfrm>
                    <a:prstGeom prst="rect">
                      <a:avLst/>
                    </a:prstGeom>
                  </pic:spPr>
                </pic:pic>
              </a:graphicData>
            </a:graphic>
          </wp:inline>
        </w:drawing>
      </w:r>
      <w:r>
        <w:t xml:space="preserve">ls </w:t>
      </w:r>
      <w:r>
        <w:br w:type="page"/>
      </w:r>
    </w:p>
    <w:p w14:paraId="6A6755A3" w14:textId="61993589" w:rsidR="00FD10DF" w:rsidRDefault="00FD10DF" w:rsidP="00FD10DF">
      <w:pPr>
        <w:jc w:val="center"/>
      </w:pPr>
      <w:hyperlink r:id="rId9" w:history="1">
        <w:r w:rsidRPr="00FD10DF">
          <w:rPr>
            <w:rStyle w:val="Hyperlink"/>
          </w:rPr>
          <w:t xml:space="preserve">Judiciary Act </w:t>
        </w:r>
        <w:proofErr w:type="spellStart"/>
        <w:r w:rsidRPr="00FD10DF">
          <w:rPr>
            <w:rStyle w:val="Hyperlink"/>
          </w:rPr>
          <w:t>Cth</w:t>
        </w:r>
        <w:proofErr w:type="spellEnd"/>
        <w:r w:rsidRPr="00FD10DF">
          <w:rPr>
            <w:rStyle w:val="Hyperlink"/>
          </w:rPr>
          <w:t xml:space="preserve"> s 35(1)</w:t>
        </w:r>
      </w:hyperlink>
    </w:p>
    <w:p w14:paraId="3B0F7F56" w14:textId="5C94E6C0" w:rsidR="00FD10DF" w:rsidRDefault="00FD10DF" w:rsidP="00FD10DF">
      <w:pPr>
        <w:jc w:val="center"/>
      </w:pPr>
    </w:p>
    <w:p w14:paraId="57652BCA" w14:textId="5D59EB5D" w:rsidR="00FD10DF" w:rsidRDefault="00FD10DF" w:rsidP="00FD10DF">
      <w:pPr>
        <w:jc w:val="center"/>
      </w:pPr>
      <w:r w:rsidRPr="00FD10DF">
        <w:drawing>
          <wp:inline distT="0" distB="0" distL="0" distR="0" wp14:anchorId="5DA73D87" wp14:editId="7724FC06">
            <wp:extent cx="5731510" cy="33858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31510" cy="3385820"/>
                    </a:xfrm>
                    <a:prstGeom prst="rect">
                      <a:avLst/>
                    </a:prstGeom>
                  </pic:spPr>
                </pic:pic>
              </a:graphicData>
            </a:graphic>
          </wp:inline>
        </w:drawing>
      </w:r>
    </w:p>
    <w:sectPr w:rsidR="00FD10D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BC0E0" w14:textId="77777777" w:rsidR="00161366" w:rsidRDefault="00161366" w:rsidP="00FD10DF">
      <w:pPr>
        <w:spacing w:after="0" w:line="240" w:lineRule="auto"/>
      </w:pPr>
      <w:r>
        <w:separator/>
      </w:r>
    </w:p>
  </w:endnote>
  <w:endnote w:type="continuationSeparator" w:id="0">
    <w:p w14:paraId="0F1FCBAE" w14:textId="77777777" w:rsidR="00161366" w:rsidRDefault="00161366" w:rsidP="00FD10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37FA9" w14:textId="77777777" w:rsidR="00161366" w:rsidRDefault="00161366" w:rsidP="00FD10DF">
      <w:pPr>
        <w:spacing w:after="0" w:line="240" w:lineRule="auto"/>
      </w:pPr>
      <w:r>
        <w:separator/>
      </w:r>
    </w:p>
  </w:footnote>
  <w:footnote w:type="continuationSeparator" w:id="0">
    <w:p w14:paraId="424FF036" w14:textId="77777777" w:rsidR="00161366" w:rsidRDefault="00161366" w:rsidP="00FD10DF">
      <w:pPr>
        <w:spacing w:after="0" w:line="240" w:lineRule="auto"/>
      </w:pPr>
      <w:r>
        <w:continuationSeparator/>
      </w:r>
    </w:p>
  </w:footnote>
  <w:footnote w:id="1">
    <w:p w14:paraId="5A1B3963" w14:textId="77777777" w:rsidR="00FD10DF" w:rsidRDefault="00FD10DF" w:rsidP="00FD10DF">
      <w:pPr>
        <w:pStyle w:val="FootnoteText"/>
      </w:pPr>
      <w:r>
        <w:rPr>
          <w:rStyle w:val="FootnoteReference"/>
        </w:rPr>
        <w:footnoteRef/>
      </w:r>
      <w:r>
        <w:t xml:space="preserve"> </w:t>
      </w:r>
      <w:r w:rsidRPr="00FD10DF">
        <w:rPr>
          <w:i/>
          <w:iCs/>
        </w:rPr>
        <w:t xml:space="preserve">Justices Act </w:t>
      </w:r>
      <w:r>
        <w:t xml:space="preserve">s 222. </w:t>
      </w:r>
    </w:p>
  </w:footnote>
  <w:footnote w:id="2">
    <w:p w14:paraId="2E5F3156" w14:textId="3BB4F3E2" w:rsidR="00FD10DF" w:rsidRDefault="00FD10DF">
      <w:pPr>
        <w:pStyle w:val="FootnoteText"/>
      </w:pPr>
      <w:r>
        <w:rPr>
          <w:rStyle w:val="FootnoteReference"/>
        </w:rPr>
        <w:footnoteRef/>
      </w:r>
      <w:r>
        <w:t xml:space="preserve"> </w:t>
      </w:r>
      <w:r w:rsidRPr="00FD10DF">
        <w:rPr>
          <w:i/>
          <w:iCs/>
        </w:rPr>
        <w:t xml:space="preserve">Criminal Code </w:t>
      </w:r>
      <w:r>
        <w:t>s</w:t>
      </w:r>
      <w:r>
        <w:t xml:space="preserve"> 6781. </w:t>
      </w:r>
    </w:p>
  </w:footnote>
  <w:footnote w:id="3">
    <w:p w14:paraId="7A741B77" w14:textId="1E8498EB" w:rsidR="00FD10DF" w:rsidRDefault="00FD10DF">
      <w:pPr>
        <w:pStyle w:val="FootnoteText"/>
      </w:pPr>
      <w:r>
        <w:rPr>
          <w:rStyle w:val="FootnoteReference"/>
        </w:rPr>
        <w:footnoteRef/>
      </w:r>
      <w:r>
        <w:t xml:space="preserve"> </w:t>
      </w:r>
      <w:hyperlink r:id="rId1" w:history="1">
        <w:r w:rsidRPr="00FD10DF">
          <w:rPr>
            <w:rStyle w:val="Hyperlink"/>
            <w:i/>
            <w:iCs/>
          </w:rPr>
          <w:t xml:space="preserve">R v NM </w:t>
        </w:r>
        <w:r w:rsidRPr="00FD10DF">
          <w:rPr>
            <w:rStyle w:val="Hyperlink"/>
          </w:rPr>
          <w:t xml:space="preserve">[2013] 1 </w:t>
        </w:r>
        <w:proofErr w:type="spellStart"/>
        <w:r w:rsidRPr="00FD10DF">
          <w:rPr>
            <w:rStyle w:val="Hyperlink"/>
          </w:rPr>
          <w:t>Qd</w:t>
        </w:r>
        <w:proofErr w:type="spellEnd"/>
        <w:r w:rsidRPr="00FD10DF">
          <w:rPr>
            <w:rStyle w:val="Hyperlink"/>
          </w:rPr>
          <w:t xml:space="preserve"> R 374</w:t>
        </w:r>
      </w:hyperlink>
      <w:r>
        <w:t xml:space="preserve"> [2] – [6]. </w:t>
      </w:r>
    </w:p>
  </w:footnote>
  <w:footnote w:id="4">
    <w:p w14:paraId="0E85C4FD" w14:textId="6FA08B66" w:rsidR="00FD10DF" w:rsidRDefault="00FD10DF">
      <w:pPr>
        <w:pStyle w:val="FootnoteText"/>
      </w:pPr>
      <w:r>
        <w:rPr>
          <w:rStyle w:val="FootnoteReference"/>
        </w:rPr>
        <w:footnoteRef/>
      </w:r>
      <w:r>
        <w:t xml:space="preserve"> </w:t>
      </w:r>
      <w:r w:rsidRPr="00FD10DF">
        <w:rPr>
          <w:i/>
          <w:iCs/>
        </w:rPr>
        <w:t xml:space="preserve">Criminal Code </w:t>
      </w:r>
      <w:r>
        <w:t xml:space="preserve">s 668D(1)(a). </w:t>
      </w:r>
    </w:p>
  </w:footnote>
  <w:footnote w:id="5">
    <w:p w14:paraId="59508615" w14:textId="5E892D77" w:rsidR="00FD10DF" w:rsidRDefault="00FD10DF">
      <w:pPr>
        <w:pStyle w:val="FootnoteText"/>
      </w:pPr>
      <w:r>
        <w:rPr>
          <w:rStyle w:val="FootnoteReference"/>
        </w:rPr>
        <w:footnoteRef/>
      </w:r>
      <w:r>
        <w:t xml:space="preserve"> </w:t>
      </w:r>
      <w:r w:rsidRPr="00FD10DF">
        <w:rPr>
          <w:i/>
          <w:iCs/>
        </w:rPr>
        <w:t>Human Rights Act</w:t>
      </w:r>
      <w:r>
        <w:t xml:space="preserve"> s 32(4). </w:t>
      </w:r>
    </w:p>
  </w:footnote>
  <w:footnote w:id="6">
    <w:p w14:paraId="510EEB02" w14:textId="3D20AAE6" w:rsidR="00FD10DF" w:rsidRDefault="00FD10DF">
      <w:pPr>
        <w:pStyle w:val="FootnoteText"/>
      </w:pPr>
      <w:r>
        <w:rPr>
          <w:rStyle w:val="FootnoteReference"/>
        </w:rPr>
        <w:footnoteRef/>
      </w:r>
      <w:r>
        <w:t xml:space="preserve"> </w:t>
      </w:r>
      <w:r w:rsidRPr="00FD10DF">
        <w:rPr>
          <w:i/>
          <w:iCs/>
        </w:rPr>
        <w:t xml:space="preserve">Criminal Code </w:t>
      </w:r>
      <w:r>
        <w:t>s</w:t>
      </w:r>
      <w:r>
        <w:t xml:space="preserve"> 669A(A). </w:t>
      </w:r>
    </w:p>
  </w:footnote>
  <w:footnote w:id="7">
    <w:p w14:paraId="281748FF" w14:textId="70328120" w:rsidR="00FD10DF" w:rsidRDefault="00FD10DF">
      <w:pPr>
        <w:pStyle w:val="FootnoteText"/>
      </w:pPr>
      <w:r>
        <w:rPr>
          <w:rStyle w:val="FootnoteReference"/>
        </w:rPr>
        <w:footnoteRef/>
      </w:r>
      <w:r>
        <w:t xml:space="preserve"> </w:t>
      </w:r>
      <w:r w:rsidRPr="00FD10DF">
        <w:rPr>
          <w:i/>
          <w:iCs/>
        </w:rPr>
        <w:t xml:space="preserve">Criminal Code </w:t>
      </w:r>
      <w:r>
        <w:t>s 669</w:t>
      </w:r>
      <w:proofErr w:type="gramStart"/>
      <w:r>
        <w:t>A(</w:t>
      </w:r>
      <w:proofErr w:type="gramEnd"/>
      <w:r>
        <w:t>2</w:t>
      </w:r>
      <w:r>
        <w:t>).</w:t>
      </w:r>
    </w:p>
  </w:footnote>
  <w:footnote w:id="8">
    <w:p w14:paraId="26B5E63A" w14:textId="58C68195" w:rsidR="00FD10DF" w:rsidRDefault="00FD10DF">
      <w:pPr>
        <w:pStyle w:val="FootnoteText"/>
      </w:pPr>
      <w:r>
        <w:rPr>
          <w:rStyle w:val="FootnoteReference"/>
        </w:rPr>
        <w:footnoteRef/>
      </w:r>
      <w:r>
        <w:t xml:space="preserve"> R v Baden-Clay </w:t>
      </w:r>
    </w:p>
  </w:footnote>
  <w:footnote w:id="9">
    <w:p w14:paraId="503448E2" w14:textId="13867ED1" w:rsidR="00FD10DF" w:rsidRDefault="00FD10DF">
      <w:pPr>
        <w:pStyle w:val="FootnoteText"/>
      </w:pPr>
      <w:r>
        <w:rPr>
          <w:rStyle w:val="FootnoteReference"/>
        </w:rPr>
        <w:footnoteRef/>
      </w:r>
      <w:r>
        <w:t xml:space="preserve"> M v The Queen (1994) 181 CLR 487 at 493. </w:t>
      </w:r>
    </w:p>
  </w:footnote>
  <w:footnote w:id="10">
    <w:p w14:paraId="641DDCE5" w14:textId="54B50B15" w:rsidR="00FD10DF" w:rsidRDefault="00FD10DF">
      <w:pPr>
        <w:pStyle w:val="FootnoteText"/>
      </w:pPr>
      <w:r>
        <w:rPr>
          <w:rStyle w:val="FootnoteReference"/>
        </w:rPr>
        <w:footnoteRef/>
      </w:r>
      <w:r>
        <w:t xml:space="preserve"> </w:t>
      </w:r>
      <w:proofErr w:type="spellStart"/>
      <w:r w:rsidRPr="00FD10DF">
        <w:rPr>
          <w:i/>
          <w:iCs/>
        </w:rPr>
        <w:t>Fingleton</w:t>
      </w:r>
      <w:proofErr w:type="spellEnd"/>
      <w:r w:rsidRPr="00FD10DF">
        <w:rPr>
          <w:i/>
          <w:iCs/>
        </w:rPr>
        <w:t xml:space="preserve"> v The Queen</w:t>
      </w:r>
      <w:r>
        <w:t xml:space="preserve"> (2005) 227 CLR 116. </w:t>
      </w:r>
    </w:p>
  </w:footnote>
  <w:footnote w:id="11">
    <w:p w14:paraId="4879AB2B" w14:textId="6BDDE1D0" w:rsidR="00FD10DF" w:rsidRPr="00FD10DF" w:rsidRDefault="00FD10DF">
      <w:pPr>
        <w:pStyle w:val="FootnoteText"/>
      </w:pPr>
      <w:r>
        <w:rPr>
          <w:rStyle w:val="FootnoteReference"/>
        </w:rPr>
        <w:footnoteRef/>
      </w:r>
      <w:r>
        <w:t xml:space="preserve"> </w:t>
      </w:r>
      <w:r>
        <w:rPr>
          <w:i/>
          <w:iCs/>
        </w:rPr>
        <w:t xml:space="preserve">R v </w:t>
      </w:r>
      <w:proofErr w:type="spellStart"/>
      <w:r>
        <w:rPr>
          <w:i/>
          <w:iCs/>
        </w:rPr>
        <w:t>Svabo</w:t>
      </w:r>
      <w:proofErr w:type="spellEnd"/>
      <w:r>
        <w:rPr>
          <w:i/>
          <w:iCs/>
        </w:rPr>
        <w:t xml:space="preserve"> </w:t>
      </w:r>
      <w:r>
        <w:t xml:space="preserve">(2000) 112 A Crim R 215. </w:t>
      </w:r>
    </w:p>
  </w:footnote>
  <w:footnote w:id="12">
    <w:p w14:paraId="222B1925" w14:textId="4377FF47" w:rsidR="00FD10DF" w:rsidRDefault="00FD10DF">
      <w:pPr>
        <w:pStyle w:val="FootnoteText"/>
      </w:pPr>
      <w:r>
        <w:rPr>
          <w:rStyle w:val="FootnoteReference"/>
        </w:rPr>
        <w:footnoteRef/>
      </w:r>
      <w:r>
        <w:t xml:space="preserve"> </w:t>
      </w:r>
      <w:r w:rsidRPr="00FD10DF">
        <w:rPr>
          <w:i/>
          <w:iCs/>
        </w:rPr>
        <w:t xml:space="preserve">Criminal Code </w:t>
      </w:r>
      <w:r>
        <w:t>s</w:t>
      </w:r>
      <w:r>
        <w:t xml:space="preserve"> 671(B)(1)(c). </w:t>
      </w:r>
    </w:p>
  </w:footnote>
  <w:footnote w:id="13">
    <w:p w14:paraId="276F79DB" w14:textId="01DF8824" w:rsidR="00FD10DF" w:rsidRDefault="00FD10DF">
      <w:pPr>
        <w:pStyle w:val="FootnoteText"/>
      </w:pPr>
      <w:r>
        <w:rPr>
          <w:rStyle w:val="FootnoteReference"/>
        </w:rPr>
        <w:footnoteRef/>
      </w:r>
      <w:r>
        <w:t xml:space="preserve"> </w:t>
      </w:r>
      <w:r w:rsidRPr="00FD10DF">
        <w:rPr>
          <w:i/>
          <w:iCs/>
        </w:rPr>
        <w:t xml:space="preserve">Wilde v The Queen </w:t>
      </w:r>
      <w:r>
        <w:t xml:space="preserve">(1988) 164 CLR 365. </w:t>
      </w:r>
    </w:p>
  </w:footnote>
  <w:footnote w:id="14">
    <w:p w14:paraId="332D9E14" w14:textId="743E30AF" w:rsidR="00FD10DF" w:rsidRDefault="00FD10DF">
      <w:pPr>
        <w:pStyle w:val="FootnoteText"/>
      </w:pPr>
      <w:r>
        <w:rPr>
          <w:rStyle w:val="FootnoteReference"/>
        </w:rPr>
        <w:footnoteRef/>
      </w:r>
      <w:r>
        <w:t xml:space="preserve"> </w:t>
      </w:r>
      <w:proofErr w:type="spellStart"/>
      <w:r w:rsidRPr="00FD10DF">
        <w:rPr>
          <w:i/>
          <w:iCs/>
        </w:rPr>
        <w:t>Baini</w:t>
      </w:r>
      <w:proofErr w:type="spellEnd"/>
      <w:r w:rsidRPr="00FD10DF">
        <w:rPr>
          <w:i/>
          <w:iCs/>
        </w:rPr>
        <w:t xml:space="preserve"> v The Queen</w:t>
      </w:r>
      <w:r>
        <w:t xml:space="preserve"> (2012) 246 CLR. </w:t>
      </w:r>
    </w:p>
  </w:footnote>
  <w:footnote w:id="15">
    <w:p w14:paraId="27A38773" w14:textId="122A89AB" w:rsidR="00FD10DF" w:rsidRDefault="00FD10DF">
      <w:pPr>
        <w:pStyle w:val="FootnoteText"/>
      </w:pPr>
      <w:r>
        <w:rPr>
          <w:rStyle w:val="FootnoteReference"/>
        </w:rPr>
        <w:footnoteRef/>
      </w:r>
      <w:r w:rsidRPr="00FD10DF">
        <w:rPr>
          <w:i/>
          <w:iCs/>
        </w:rPr>
        <w:t xml:space="preserve">Criminal Code </w:t>
      </w:r>
      <w:r>
        <w:t>s</w:t>
      </w:r>
      <w:r>
        <w:t xml:space="preserve"> 669. </w:t>
      </w:r>
    </w:p>
  </w:footnote>
  <w:footnote w:id="16">
    <w:p w14:paraId="28E039D1" w14:textId="27E2C716" w:rsidR="00FD10DF" w:rsidRPr="00FD10DF" w:rsidRDefault="00FD10DF">
      <w:pPr>
        <w:pStyle w:val="FootnoteText"/>
      </w:pPr>
      <w:r>
        <w:rPr>
          <w:rStyle w:val="FootnoteReference"/>
        </w:rPr>
        <w:footnoteRef/>
      </w:r>
      <w:r>
        <w:t xml:space="preserve"> </w:t>
      </w:r>
      <w:r>
        <w:rPr>
          <w:i/>
          <w:iCs/>
        </w:rPr>
        <w:t xml:space="preserve">Neal v The Queen </w:t>
      </w:r>
      <w:r>
        <w:t xml:space="preserve">(1982) 149 CLR – as a matter of natural justice. </w:t>
      </w:r>
    </w:p>
  </w:footnote>
  <w:footnote w:id="17">
    <w:p w14:paraId="1E2A9DEA" w14:textId="42E40ECD" w:rsidR="00FD10DF" w:rsidRDefault="00FD10DF">
      <w:pPr>
        <w:pStyle w:val="FootnoteText"/>
      </w:pPr>
      <w:r>
        <w:rPr>
          <w:rStyle w:val="FootnoteReference"/>
        </w:rPr>
        <w:footnoteRef/>
      </w:r>
      <w:r>
        <w:t xml:space="preserve"> </w:t>
      </w:r>
      <w:r w:rsidRPr="00FD10DF">
        <w:rPr>
          <w:i/>
          <w:iCs/>
        </w:rPr>
        <w:t xml:space="preserve">Judiciary Act </w:t>
      </w:r>
      <w:proofErr w:type="spellStart"/>
      <w:r w:rsidRPr="00FD10DF">
        <w:rPr>
          <w:i/>
          <w:iCs/>
        </w:rPr>
        <w:t>Cth</w:t>
      </w:r>
      <w:proofErr w:type="spellEnd"/>
      <w:r>
        <w:t xml:space="preserve"> s 35(1)</w:t>
      </w:r>
    </w:p>
  </w:footnote>
  <w:footnote w:id="18">
    <w:p w14:paraId="1C776F15" w14:textId="7E998C32" w:rsidR="00FD10DF" w:rsidRDefault="00FD10DF">
      <w:pPr>
        <w:pStyle w:val="FootnoteText"/>
      </w:pPr>
      <w:r>
        <w:rPr>
          <w:rStyle w:val="FootnoteReference"/>
        </w:rPr>
        <w:footnoteRef/>
      </w:r>
      <w:r>
        <w:t xml:space="preserve"> Ibid s 35A.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D1E72"/>
    <w:multiLevelType w:val="hybridMultilevel"/>
    <w:tmpl w:val="B8923552"/>
    <w:lvl w:ilvl="0" w:tplc="80E6728A">
      <w:numFmt w:val="bullet"/>
      <w:lvlText w:val=""/>
      <w:lvlJc w:val="left"/>
      <w:pPr>
        <w:ind w:left="720" w:hanging="360"/>
      </w:pPr>
      <w:rPr>
        <w:rFonts w:ascii="Wingdings" w:eastAsiaTheme="minorHAnsi" w:hAnsi="Wingding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8CC211B"/>
    <w:multiLevelType w:val="hybridMultilevel"/>
    <w:tmpl w:val="9642FD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51921B2"/>
    <w:multiLevelType w:val="hybridMultilevel"/>
    <w:tmpl w:val="C5F248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56524A48"/>
    <w:multiLevelType w:val="hybridMultilevel"/>
    <w:tmpl w:val="A5D4398C"/>
    <w:lvl w:ilvl="0" w:tplc="0C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9F72D82"/>
    <w:multiLevelType w:val="hybridMultilevel"/>
    <w:tmpl w:val="66F411F8"/>
    <w:lvl w:ilvl="0" w:tplc="2418F77E">
      <w:start w:val="1"/>
      <w:numFmt w:val="decimal"/>
      <w:lvlText w:val="%1."/>
      <w:lvlJc w:val="left"/>
      <w:pPr>
        <w:ind w:left="720" w:hanging="360"/>
      </w:pPr>
      <w:rPr>
        <w:rFonts w:hint="default"/>
        <w:i/>
        <w:u w:val="singl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F714165"/>
    <w:multiLevelType w:val="hybridMultilevel"/>
    <w:tmpl w:val="1C3A4810"/>
    <w:lvl w:ilvl="0" w:tplc="7E4E13F6">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5C929A1"/>
    <w:multiLevelType w:val="hybridMultilevel"/>
    <w:tmpl w:val="BE3EED3C"/>
    <w:lvl w:ilvl="0" w:tplc="A19EC8BE">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1465155473">
    <w:abstractNumId w:val="5"/>
  </w:num>
  <w:num w:numId="2" w16cid:durableId="1893034906">
    <w:abstractNumId w:val="6"/>
  </w:num>
  <w:num w:numId="3" w16cid:durableId="532808007">
    <w:abstractNumId w:val="0"/>
  </w:num>
  <w:num w:numId="4" w16cid:durableId="1216350936">
    <w:abstractNumId w:val="2"/>
  </w:num>
  <w:num w:numId="5" w16cid:durableId="1461148559">
    <w:abstractNumId w:val="1"/>
  </w:num>
  <w:num w:numId="6" w16cid:durableId="2127843499">
    <w:abstractNumId w:val="3"/>
  </w:num>
  <w:num w:numId="7" w16cid:durableId="88463476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032FE06-3347-474D-900D-9742100F07EF}"/>
    <w:docVar w:name="dgnword-drafile" w:val="C:\Users\james\AppData\Local\Temp\dra2FF4.tmp"/>
    <w:docVar w:name="dgnword-eventsink" w:val="2657624763824"/>
  </w:docVars>
  <w:rsids>
    <w:rsidRoot w:val="00E049AD"/>
    <w:rsid w:val="00161366"/>
    <w:rsid w:val="003A0209"/>
    <w:rsid w:val="00B11DC5"/>
    <w:rsid w:val="00D96261"/>
    <w:rsid w:val="00E049AD"/>
    <w:rsid w:val="00FD10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719E0"/>
  <w15:docId w15:val="{B07A2FA8-A29C-4267-99DC-5599F7A04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49AD"/>
    <w:pPr>
      <w:ind w:left="720"/>
      <w:contextualSpacing/>
    </w:pPr>
  </w:style>
  <w:style w:type="character" w:styleId="Hyperlink">
    <w:name w:val="Hyperlink"/>
    <w:basedOn w:val="DefaultParagraphFont"/>
    <w:uiPriority w:val="99"/>
    <w:unhideWhenUsed/>
    <w:rsid w:val="00E049AD"/>
    <w:rPr>
      <w:color w:val="0563C1" w:themeColor="hyperlink"/>
      <w:u w:val="single"/>
    </w:rPr>
  </w:style>
  <w:style w:type="character" w:styleId="UnresolvedMention">
    <w:name w:val="Unresolved Mention"/>
    <w:basedOn w:val="DefaultParagraphFont"/>
    <w:uiPriority w:val="99"/>
    <w:semiHidden/>
    <w:unhideWhenUsed/>
    <w:rsid w:val="00E049AD"/>
    <w:rPr>
      <w:color w:val="605E5C"/>
      <w:shd w:val="clear" w:color="auto" w:fill="E1DFDD"/>
    </w:rPr>
  </w:style>
  <w:style w:type="paragraph" w:styleId="FootnoteText">
    <w:name w:val="footnote text"/>
    <w:basedOn w:val="Normal"/>
    <w:link w:val="FootnoteTextChar"/>
    <w:uiPriority w:val="99"/>
    <w:semiHidden/>
    <w:unhideWhenUsed/>
    <w:rsid w:val="00FD10D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D10DF"/>
    <w:rPr>
      <w:sz w:val="20"/>
      <w:szCs w:val="20"/>
    </w:rPr>
  </w:style>
  <w:style w:type="character" w:styleId="FootnoteReference">
    <w:name w:val="footnote reference"/>
    <w:basedOn w:val="DefaultParagraphFont"/>
    <w:uiPriority w:val="99"/>
    <w:semiHidden/>
    <w:unhideWhenUsed/>
    <w:rsid w:val="00FD10DF"/>
    <w:rPr>
      <w:vertAlign w:val="superscript"/>
    </w:rPr>
  </w:style>
  <w:style w:type="character" w:styleId="FollowedHyperlink">
    <w:name w:val="FollowedHyperlink"/>
    <w:basedOn w:val="DefaultParagraphFont"/>
    <w:uiPriority w:val="99"/>
    <w:semiHidden/>
    <w:unhideWhenUsed/>
    <w:rsid w:val="00FD10D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legislation.qld.gov.au/view/pdf/inforce/current/act-1886-01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legislation.gov.au/Details/C2016C00836/Download"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queenslandjudgments.com.au/case/id/5056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2484</TotalTime>
  <Pages>4</Pages>
  <Words>783</Words>
  <Characters>4469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Torcetti</dc:creator>
  <cp:keywords/>
  <dc:description/>
  <cp:lastModifiedBy>James Torcetti</cp:lastModifiedBy>
  <cp:revision>1</cp:revision>
  <dcterms:created xsi:type="dcterms:W3CDTF">2022-08-12T07:54:00Z</dcterms:created>
  <dcterms:modified xsi:type="dcterms:W3CDTF">2022-08-14T11:06:00Z</dcterms:modified>
</cp:coreProperties>
</file>