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64EE" w14:textId="04DAEA9E" w:rsidR="008F6033" w:rsidRDefault="004A029E" w:rsidP="004A029E">
      <w:pPr>
        <w:jc w:val="center"/>
        <w:rPr>
          <w:b/>
          <w:bCs/>
        </w:rPr>
      </w:pPr>
      <w:r>
        <w:rPr>
          <w:b/>
          <w:bCs/>
        </w:rPr>
        <w:t xml:space="preserve">Commonwealth </w:t>
      </w:r>
      <w:r w:rsidR="00B157D3">
        <w:rPr>
          <w:b/>
          <w:bCs/>
        </w:rPr>
        <w:t xml:space="preserve">– differences vs </w:t>
      </w:r>
      <w:r w:rsidR="00672195">
        <w:rPr>
          <w:b/>
          <w:bCs/>
        </w:rPr>
        <w:t xml:space="preserve">Qld </w:t>
      </w:r>
      <w:r w:rsidR="004C1510">
        <w:rPr>
          <w:b/>
          <w:bCs/>
        </w:rPr>
        <w:t>l</w:t>
      </w:r>
      <w:r w:rsidR="00672195">
        <w:rPr>
          <w:b/>
          <w:bCs/>
        </w:rPr>
        <w:t>aws</w:t>
      </w:r>
    </w:p>
    <w:p w14:paraId="49A5A0DA" w14:textId="72189AC4" w:rsidR="00672195" w:rsidRDefault="00672195" w:rsidP="004A029E">
      <w:pPr>
        <w:jc w:val="center"/>
        <w:rPr>
          <w:b/>
          <w:bCs/>
        </w:rPr>
      </w:pPr>
    </w:p>
    <w:tbl>
      <w:tblPr>
        <w:tblStyle w:val="TableGrid"/>
        <w:tblW w:w="0" w:type="auto"/>
        <w:shd w:val="clear" w:color="auto" w:fill="BDD6EE" w:themeFill="accent5" w:themeFillTint="66"/>
        <w:tblLook w:val="04A0" w:firstRow="1" w:lastRow="0" w:firstColumn="1" w:lastColumn="0" w:noHBand="0" w:noVBand="1"/>
      </w:tblPr>
      <w:tblGrid>
        <w:gridCol w:w="9016"/>
      </w:tblGrid>
      <w:tr w:rsidR="00672195" w14:paraId="31F875FD" w14:textId="77777777" w:rsidTr="00E96DFA">
        <w:trPr>
          <w:trHeight w:val="461"/>
        </w:trPr>
        <w:tc>
          <w:tcPr>
            <w:tcW w:w="9016" w:type="dxa"/>
            <w:shd w:val="clear" w:color="auto" w:fill="BDD6EE" w:themeFill="accent5" w:themeFillTint="66"/>
          </w:tcPr>
          <w:p w14:paraId="097A4011" w14:textId="49B9B625" w:rsidR="00672195" w:rsidRDefault="00672195" w:rsidP="00E96DFA">
            <w:pPr>
              <w:jc w:val="center"/>
              <w:rPr>
                <w:b/>
                <w:bCs/>
              </w:rPr>
            </w:pPr>
            <w:r>
              <w:rPr>
                <w:b/>
                <w:bCs/>
              </w:rPr>
              <w:t>Evidence</w:t>
            </w:r>
          </w:p>
        </w:tc>
      </w:tr>
    </w:tbl>
    <w:p w14:paraId="23D32C06" w14:textId="77777777" w:rsidR="00672195" w:rsidRDefault="00672195" w:rsidP="00672195">
      <w:pPr>
        <w:jc w:val="center"/>
        <w:rPr>
          <w:b/>
          <w:bCs/>
        </w:rPr>
      </w:pPr>
    </w:p>
    <w:p w14:paraId="54F2C7B4" w14:textId="0BE573EC" w:rsidR="00672195" w:rsidRDefault="00672195" w:rsidP="00672195">
      <w:r>
        <w:t xml:space="preserve">Relevant act is the </w:t>
      </w:r>
      <w:r w:rsidRPr="00672195">
        <w:rPr>
          <w:b/>
          <w:bCs/>
        </w:rPr>
        <w:t>Evidence Act 1995 (</w:t>
      </w:r>
      <w:proofErr w:type="spellStart"/>
      <w:r w:rsidRPr="00672195">
        <w:rPr>
          <w:b/>
          <w:bCs/>
        </w:rPr>
        <w:t>Cth</w:t>
      </w:r>
      <w:proofErr w:type="spellEnd"/>
      <w:r w:rsidRPr="00672195">
        <w:rPr>
          <w:b/>
          <w:bCs/>
        </w:rPr>
        <w:t>)</w:t>
      </w:r>
      <w:r w:rsidR="00EF1D30">
        <w:t xml:space="preserve"> – operates under the Unfirm Evidence Act Reforms introduced in 1990s, along with NSW, ACT, NT, Tas and Vic</w:t>
      </w:r>
      <w:r w:rsidR="006476E7">
        <w:t xml:space="preserve">. </w:t>
      </w:r>
    </w:p>
    <w:p w14:paraId="7C9CE984" w14:textId="2AB7636B" w:rsidR="006476E7" w:rsidRDefault="006476E7" w:rsidP="00672195"/>
    <w:p w14:paraId="57AAB44C" w14:textId="288C902D" w:rsidR="00EF1D30" w:rsidRDefault="006476E7" w:rsidP="00672195">
      <w:r>
        <w:t>Common law principles apply unless otherwise excluded.</w:t>
      </w:r>
    </w:p>
    <w:p w14:paraId="33E58A73" w14:textId="77777777" w:rsidR="00EF1D30" w:rsidRPr="00672195" w:rsidRDefault="00EF1D30" w:rsidP="00672195">
      <w:pPr>
        <w:rPr>
          <w:i/>
          <w:iCs/>
        </w:rPr>
      </w:pPr>
    </w:p>
    <w:p w14:paraId="34F64DA9" w14:textId="77777777" w:rsidR="00672195" w:rsidRPr="00672195" w:rsidRDefault="00672195" w:rsidP="004A029E">
      <w:pPr>
        <w:jc w:val="center"/>
      </w:pPr>
    </w:p>
    <w:tbl>
      <w:tblPr>
        <w:tblStyle w:val="TableGrid"/>
        <w:tblW w:w="0" w:type="auto"/>
        <w:shd w:val="clear" w:color="auto" w:fill="BDD6EE" w:themeFill="accent5" w:themeFillTint="66"/>
        <w:tblLook w:val="04A0" w:firstRow="1" w:lastRow="0" w:firstColumn="1" w:lastColumn="0" w:noHBand="0" w:noVBand="1"/>
      </w:tblPr>
      <w:tblGrid>
        <w:gridCol w:w="9016"/>
      </w:tblGrid>
      <w:tr w:rsidR="0099413D" w14:paraId="59ABB906" w14:textId="77777777" w:rsidTr="00E96DFA">
        <w:trPr>
          <w:trHeight w:val="461"/>
        </w:trPr>
        <w:tc>
          <w:tcPr>
            <w:tcW w:w="9016" w:type="dxa"/>
            <w:shd w:val="clear" w:color="auto" w:fill="BDD6EE" w:themeFill="accent5" w:themeFillTint="66"/>
          </w:tcPr>
          <w:p w14:paraId="5B0493EC" w14:textId="6BF635D0" w:rsidR="0099413D" w:rsidRDefault="0099413D" w:rsidP="00E96DFA">
            <w:pPr>
              <w:jc w:val="center"/>
              <w:rPr>
                <w:b/>
                <w:bCs/>
              </w:rPr>
            </w:pPr>
            <w:r>
              <w:rPr>
                <w:b/>
                <w:bCs/>
              </w:rPr>
              <w:t xml:space="preserve">Sentencing – jurisdiction </w:t>
            </w:r>
          </w:p>
        </w:tc>
      </w:tr>
    </w:tbl>
    <w:p w14:paraId="2F6B98B2" w14:textId="3AF74BE7" w:rsidR="0099413D" w:rsidRDefault="0099413D" w:rsidP="0099413D">
      <w:pPr>
        <w:rPr>
          <w:b/>
          <w:bCs/>
        </w:rPr>
      </w:pPr>
    </w:p>
    <w:p w14:paraId="6B9CC16F" w14:textId="324CF243" w:rsidR="0099413D" w:rsidRPr="0099413D" w:rsidRDefault="0099413D" w:rsidP="0099413D">
      <w:r>
        <w:rPr>
          <w:b/>
          <w:bCs/>
        </w:rPr>
        <w:t>Indictable offences</w:t>
      </w:r>
      <w:r>
        <w:t xml:space="preserve"> are any offences under commonwealth laws exceeding a MP of 12 </w:t>
      </w:r>
      <w:proofErr w:type="spellStart"/>
      <w:r>
        <w:t>months</w:t>
      </w:r>
      <w:proofErr w:type="spellEnd"/>
      <w:r>
        <w:t xml:space="preserve"> imprisonment (4G Crimes Act)</w:t>
      </w:r>
    </w:p>
    <w:p w14:paraId="121434B5" w14:textId="77777777" w:rsidR="0099413D" w:rsidRDefault="0099413D" w:rsidP="0099413D">
      <w:pPr>
        <w:rPr>
          <w:b/>
          <w:bCs/>
        </w:rPr>
      </w:pPr>
    </w:p>
    <w:p w14:paraId="3C27A766" w14:textId="378C5719" w:rsidR="0099413D" w:rsidRDefault="0099413D" w:rsidP="0099413D">
      <w:r>
        <w:rPr>
          <w:b/>
          <w:bCs/>
        </w:rPr>
        <w:t xml:space="preserve">S4J </w:t>
      </w:r>
      <w:r>
        <w:t>of the Crimes Act – any indictable offence with MP of 10 years or less can be dealt with summarily with the consent of the prosecutor (in other words, defence always retain an election to proceed on indictment)</w:t>
      </w:r>
    </w:p>
    <w:p w14:paraId="1DF62C48" w14:textId="080D839A" w:rsidR="0099413D" w:rsidRDefault="0099413D" w:rsidP="0099413D"/>
    <w:p w14:paraId="097E5C54" w14:textId="7571B683" w:rsidR="0099413D" w:rsidRDefault="00142265" w:rsidP="0099413D">
      <w:pPr>
        <w:rPr>
          <w:b/>
          <w:bCs/>
        </w:rPr>
      </w:pPr>
      <w:r>
        <w:rPr>
          <w:b/>
          <w:bCs/>
        </w:rPr>
        <w:t>Maximum penalties if dealt with summarily (4</w:t>
      </w:r>
      <w:proofErr w:type="gramStart"/>
      <w:r>
        <w:rPr>
          <w:b/>
          <w:bCs/>
        </w:rPr>
        <w:t>J(</w:t>
      </w:r>
      <w:proofErr w:type="gramEnd"/>
      <w:r>
        <w:rPr>
          <w:b/>
          <w:bCs/>
        </w:rPr>
        <w:t>3) Crimes Act)</w:t>
      </w:r>
    </w:p>
    <w:p w14:paraId="60E97E88" w14:textId="78A801C4" w:rsidR="00142265" w:rsidRDefault="00142265" w:rsidP="0099413D">
      <w:pPr>
        <w:rPr>
          <w:b/>
          <w:bCs/>
        </w:rPr>
      </w:pPr>
    </w:p>
    <w:p w14:paraId="6058BEA7" w14:textId="2673B1DB" w:rsidR="00142265" w:rsidRDefault="00142265" w:rsidP="00142265">
      <w:pPr>
        <w:pStyle w:val="ListParagraph"/>
        <w:numPr>
          <w:ilvl w:val="0"/>
          <w:numId w:val="1"/>
        </w:numPr>
      </w:pPr>
      <w:r>
        <w:t>If MP is 5 years or less, MP is 12 months imp or 60 PU</w:t>
      </w:r>
    </w:p>
    <w:p w14:paraId="3F7AF88C" w14:textId="0EAADB5C" w:rsidR="00142265" w:rsidRDefault="00142265" w:rsidP="00142265">
      <w:pPr>
        <w:pStyle w:val="ListParagraph"/>
        <w:numPr>
          <w:ilvl w:val="0"/>
          <w:numId w:val="1"/>
        </w:numPr>
      </w:pPr>
      <w:r>
        <w:t>If MP is more than 5 years but less than 10, MP is 2 years imprisonment or 120 PU</w:t>
      </w:r>
    </w:p>
    <w:p w14:paraId="4BAE0933" w14:textId="367695D9" w:rsidR="00142265" w:rsidRPr="00142265" w:rsidRDefault="00142265" w:rsidP="00142265">
      <w:pPr>
        <w:pStyle w:val="ListParagraph"/>
        <w:numPr>
          <w:ilvl w:val="0"/>
          <w:numId w:val="1"/>
        </w:numPr>
      </w:pPr>
      <w:r>
        <w:t xml:space="preserve">Anything above 10 years MP would have to proceed on indictment as 4J wouldn’t apply </w:t>
      </w:r>
    </w:p>
    <w:p w14:paraId="4719E497" w14:textId="7B13E97E" w:rsidR="004A029E" w:rsidRDefault="004A029E" w:rsidP="004A029E">
      <w:pPr>
        <w:jc w:val="center"/>
        <w:rPr>
          <w:b/>
          <w:bCs/>
        </w:rPr>
      </w:pPr>
    </w:p>
    <w:tbl>
      <w:tblPr>
        <w:tblStyle w:val="TableGrid"/>
        <w:tblW w:w="0" w:type="auto"/>
        <w:shd w:val="clear" w:color="auto" w:fill="BDD6EE" w:themeFill="accent5" w:themeFillTint="66"/>
        <w:tblLook w:val="04A0" w:firstRow="1" w:lastRow="0" w:firstColumn="1" w:lastColumn="0" w:noHBand="0" w:noVBand="1"/>
      </w:tblPr>
      <w:tblGrid>
        <w:gridCol w:w="9016"/>
      </w:tblGrid>
      <w:tr w:rsidR="002A7A30" w14:paraId="7E260DF5" w14:textId="77777777" w:rsidTr="00E96DFA">
        <w:trPr>
          <w:trHeight w:val="461"/>
        </w:trPr>
        <w:tc>
          <w:tcPr>
            <w:tcW w:w="9016" w:type="dxa"/>
            <w:shd w:val="clear" w:color="auto" w:fill="BDD6EE" w:themeFill="accent5" w:themeFillTint="66"/>
          </w:tcPr>
          <w:p w14:paraId="76CEFF53" w14:textId="3383C57F" w:rsidR="002A7A30" w:rsidRDefault="002A7A30" w:rsidP="00E96DFA">
            <w:pPr>
              <w:jc w:val="center"/>
              <w:rPr>
                <w:b/>
                <w:bCs/>
              </w:rPr>
            </w:pPr>
            <w:r>
              <w:rPr>
                <w:b/>
                <w:bCs/>
              </w:rPr>
              <w:t>Sentencing – key differences</w:t>
            </w:r>
            <w:proofErr w:type="gramStart"/>
            <w:r>
              <w:rPr>
                <w:b/>
                <w:bCs/>
              </w:rPr>
              <w:t xml:space="preserve"> </w:t>
            </w:r>
            <w:r>
              <w:rPr>
                <w:b/>
                <w:bCs/>
              </w:rPr>
              <w:t xml:space="preserve"> </w:t>
            </w:r>
            <w:r w:rsidR="00522351">
              <w:rPr>
                <w:b/>
                <w:bCs/>
              </w:rPr>
              <w:t xml:space="preserve"> (</w:t>
            </w:r>
            <w:proofErr w:type="gramEnd"/>
            <w:r w:rsidR="00522351">
              <w:rPr>
                <w:b/>
                <w:bCs/>
              </w:rPr>
              <w:t>Crimes Act)</w:t>
            </w:r>
          </w:p>
        </w:tc>
      </w:tr>
    </w:tbl>
    <w:p w14:paraId="14F2651F" w14:textId="77777777" w:rsidR="002A7A30" w:rsidRDefault="002A7A30" w:rsidP="002A7A30">
      <w:pPr>
        <w:jc w:val="center"/>
        <w:rPr>
          <w:b/>
          <w:bCs/>
        </w:rPr>
      </w:pPr>
    </w:p>
    <w:p w14:paraId="321E0624" w14:textId="0958552C" w:rsidR="002A7A30" w:rsidRDefault="002A7A30" w:rsidP="002A7A30">
      <w:pPr>
        <w:pStyle w:val="ListParagraph"/>
        <w:numPr>
          <w:ilvl w:val="0"/>
          <w:numId w:val="10"/>
        </w:numPr>
      </w:pPr>
      <w:r>
        <w:t xml:space="preserve">17B – for any offence relating to property where the value is under $2,000, a sentence of imprisonment cannot be imposed unless there are exceptional circumstances </w:t>
      </w:r>
    </w:p>
    <w:p w14:paraId="6C3B7BCE" w14:textId="77777777" w:rsidR="00522351" w:rsidRDefault="002A7A30" w:rsidP="002A7A30">
      <w:pPr>
        <w:pStyle w:val="ListParagraph"/>
        <w:numPr>
          <w:ilvl w:val="0"/>
          <w:numId w:val="10"/>
        </w:numPr>
      </w:pPr>
      <w:r>
        <w:t>17</w:t>
      </w:r>
      <w:proofErr w:type="gramStart"/>
      <w:r>
        <w:t>A(</w:t>
      </w:r>
      <w:proofErr w:type="gramEnd"/>
      <w:r>
        <w:t>1) and common law – imprisonment as a last resort + s</w:t>
      </w:r>
      <w:r w:rsidR="00522351">
        <w:t xml:space="preserve">hortest possible sentence </w:t>
      </w:r>
      <w:r>
        <w:t xml:space="preserve">generally applies </w:t>
      </w:r>
    </w:p>
    <w:p w14:paraId="58C98716" w14:textId="0CF50158" w:rsidR="00522351" w:rsidRDefault="00522351" w:rsidP="00522351">
      <w:pPr>
        <w:pStyle w:val="ListParagraph"/>
        <w:numPr>
          <w:ilvl w:val="0"/>
          <w:numId w:val="10"/>
        </w:numPr>
      </w:pPr>
      <w:r>
        <w:t xml:space="preserve">16BA is equivalent of our 189 PSA allowing for a form of other offences to be </w:t>
      </w:r>
      <w:proofErr w:type="gramStart"/>
      <w:r>
        <w:t>taken into account</w:t>
      </w:r>
      <w:proofErr w:type="gramEnd"/>
      <w:r>
        <w:t xml:space="preserve"> (can be for state or </w:t>
      </w:r>
      <w:proofErr w:type="spellStart"/>
      <w:r>
        <w:t>Cth</w:t>
      </w:r>
      <w:proofErr w:type="spellEnd"/>
      <w:r>
        <w:t xml:space="preserve"> offences</w:t>
      </w:r>
    </w:p>
    <w:p w14:paraId="2E413DAC" w14:textId="62DBFA0D" w:rsidR="00522351" w:rsidRDefault="00522351" w:rsidP="00522351">
      <w:pPr>
        <w:pStyle w:val="ListParagraph"/>
        <w:numPr>
          <w:ilvl w:val="0"/>
          <w:numId w:val="10"/>
        </w:numPr>
      </w:pPr>
      <w:r>
        <w:t>Parole only imposed for when aggregate sentence over 3 years (19AB), otherwise will be by RRO scheme</w:t>
      </w:r>
    </w:p>
    <w:p w14:paraId="2C14AB4D" w14:textId="7A44E37E" w:rsidR="001C2C33" w:rsidRDefault="001C2C33" w:rsidP="00522351">
      <w:pPr>
        <w:pStyle w:val="ListParagraph"/>
        <w:numPr>
          <w:ilvl w:val="0"/>
          <w:numId w:val="10"/>
        </w:numPr>
      </w:pPr>
      <w:r>
        <w:t xml:space="preserve">Deportation is specifically said not be a reason to not impose parole (19AK) – contrasted to </w:t>
      </w:r>
      <w:r>
        <w:rPr>
          <w:i/>
          <w:iCs/>
        </w:rPr>
        <w:t xml:space="preserve">R v Abdi </w:t>
      </w:r>
      <w:r>
        <w:t>in Qld</w:t>
      </w:r>
    </w:p>
    <w:p w14:paraId="3FD85E4C" w14:textId="65542472" w:rsidR="001C2C33" w:rsidRDefault="001C2C33" w:rsidP="00522351">
      <w:pPr>
        <w:pStyle w:val="ListParagraph"/>
        <w:numPr>
          <w:ilvl w:val="0"/>
          <w:numId w:val="10"/>
        </w:numPr>
      </w:pPr>
      <w:r>
        <w:t xml:space="preserve">No specific ration for </w:t>
      </w:r>
      <w:proofErr w:type="spellStart"/>
      <w:r>
        <w:t>non parole</w:t>
      </w:r>
      <w:proofErr w:type="spellEnd"/>
      <w:r>
        <w:t xml:space="preserve"> period, but at common law typically between 60% - 66.6% (</w:t>
      </w:r>
      <w:r>
        <w:rPr>
          <w:i/>
          <w:iCs/>
        </w:rPr>
        <w:t xml:space="preserve">R v Selim </w:t>
      </w:r>
      <w:r>
        <w:t xml:space="preserve">[1998] NSWC 165) and 75% typically reserved for the worst category of a case </w:t>
      </w:r>
    </w:p>
    <w:p w14:paraId="68071AEE" w14:textId="2B6F26D9" w:rsidR="001C2C33" w:rsidRDefault="001C2C33" w:rsidP="00522351">
      <w:pPr>
        <w:pStyle w:val="ListParagraph"/>
        <w:numPr>
          <w:ilvl w:val="0"/>
          <w:numId w:val="10"/>
        </w:numPr>
      </w:pPr>
      <w:r>
        <w:t>Parole release is automatic under the scheme (19AL to 19 AZD)</w:t>
      </w:r>
    </w:p>
    <w:p w14:paraId="623224F4" w14:textId="6F5175E1" w:rsidR="001C2C33" w:rsidRDefault="001C2C33" w:rsidP="00522351">
      <w:pPr>
        <w:pStyle w:val="ListParagraph"/>
        <w:numPr>
          <w:ilvl w:val="0"/>
          <w:numId w:val="10"/>
        </w:numPr>
      </w:pPr>
      <w:r>
        <w:t>Parole supervised by state authorities with any breaches to be referred to the AG for consideration – may be revoked under 19AU</w:t>
      </w:r>
    </w:p>
    <w:p w14:paraId="45F18C12" w14:textId="5E976DC5" w:rsidR="002A7A30" w:rsidRDefault="002A7A30" w:rsidP="004A029E">
      <w:pPr>
        <w:jc w:val="center"/>
        <w:rPr>
          <w:b/>
          <w:bCs/>
        </w:rPr>
      </w:pPr>
    </w:p>
    <w:tbl>
      <w:tblPr>
        <w:tblStyle w:val="TableGrid"/>
        <w:tblW w:w="0" w:type="auto"/>
        <w:shd w:val="clear" w:color="auto" w:fill="BDD6EE" w:themeFill="accent5" w:themeFillTint="66"/>
        <w:tblLook w:val="04A0" w:firstRow="1" w:lastRow="0" w:firstColumn="1" w:lastColumn="0" w:noHBand="0" w:noVBand="1"/>
      </w:tblPr>
      <w:tblGrid>
        <w:gridCol w:w="9016"/>
      </w:tblGrid>
      <w:tr w:rsidR="00142265" w14:paraId="6A3FBAA3" w14:textId="77777777" w:rsidTr="00E96DFA">
        <w:trPr>
          <w:trHeight w:val="461"/>
        </w:trPr>
        <w:tc>
          <w:tcPr>
            <w:tcW w:w="9016" w:type="dxa"/>
            <w:shd w:val="clear" w:color="auto" w:fill="BDD6EE" w:themeFill="accent5" w:themeFillTint="66"/>
          </w:tcPr>
          <w:p w14:paraId="2C9BA618" w14:textId="6E5210A7" w:rsidR="00142265" w:rsidRDefault="00142265" w:rsidP="00E96DFA">
            <w:pPr>
              <w:jc w:val="center"/>
              <w:rPr>
                <w:b/>
                <w:bCs/>
              </w:rPr>
            </w:pPr>
            <w:r>
              <w:rPr>
                <w:b/>
                <w:bCs/>
              </w:rPr>
              <w:t xml:space="preserve">Liability – elements </w:t>
            </w:r>
            <w:r>
              <w:rPr>
                <w:b/>
                <w:bCs/>
              </w:rPr>
              <w:t xml:space="preserve"> </w:t>
            </w:r>
          </w:p>
        </w:tc>
      </w:tr>
    </w:tbl>
    <w:p w14:paraId="29E7E9D7" w14:textId="77777777" w:rsidR="00142265" w:rsidRDefault="00142265" w:rsidP="00142265">
      <w:pPr>
        <w:rPr>
          <w:b/>
          <w:bCs/>
        </w:rPr>
      </w:pPr>
    </w:p>
    <w:p w14:paraId="4102A2CA" w14:textId="75280C53" w:rsidR="00142265" w:rsidRDefault="00142265" w:rsidP="00142265">
      <w:r>
        <w:t>Part 2.2 of the Criminal Code Act 1995 (</w:t>
      </w:r>
      <w:proofErr w:type="spellStart"/>
      <w:r>
        <w:t>Cth</w:t>
      </w:r>
      <w:proofErr w:type="spellEnd"/>
      <w:r>
        <w:t xml:space="preserve">) defines offences in terms of </w:t>
      </w:r>
      <w:r w:rsidR="00725349">
        <w:rPr>
          <w:b/>
          <w:bCs/>
        </w:rPr>
        <w:t>physical</w:t>
      </w:r>
      <w:r>
        <w:rPr>
          <w:b/>
          <w:bCs/>
        </w:rPr>
        <w:t xml:space="preserve"> element and fault </w:t>
      </w:r>
      <w:r w:rsidR="00725349">
        <w:rPr>
          <w:b/>
          <w:bCs/>
        </w:rPr>
        <w:t>element</w:t>
      </w:r>
    </w:p>
    <w:p w14:paraId="208236AC" w14:textId="09CBEAA3" w:rsidR="00142265" w:rsidRDefault="00142265" w:rsidP="00142265"/>
    <w:p w14:paraId="6EF5138D" w14:textId="0D9FDF53" w:rsidR="00142265" w:rsidRDefault="00142265" w:rsidP="00142265">
      <w:r>
        <w:rPr>
          <w:b/>
          <w:bCs/>
        </w:rPr>
        <w:t>Physical element</w:t>
      </w:r>
      <w:r>
        <w:t xml:space="preserve"> referring to the conduct or the result of the conduct</w:t>
      </w:r>
      <w:r w:rsidR="00725349">
        <w:t xml:space="preserve"> </w:t>
      </w:r>
    </w:p>
    <w:p w14:paraId="0C428FED" w14:textId="2FCDF130" w:rsidR="00142265" w:rsidRDefault="00142265" w:rsidP="00142265"/>
    <w:p w14:paraId="0AAA8B05" w14:textId="4947395C" w:rsidR="00142265" w:rsidRDefault="00142265" w:rsidP="00142265">
      <w:r>
        <w:rPr>
          <w:b/>
          <w:bCs/>
        </w:rPr>
        <w:t>Fault element</w:t>
      </w:r>
      <w:r>
        <w:t xml:space="preserve"> going towards state of mind (intention, knowledge, </w:t>
      </w:r>
      <w:proofErr w:type="gramStart"/>
      <w:r>
        <w:t>recklessness</w:t>
      </w:r>
      <w:proofErr w:type="gramEnd"/>
      <w:r>
        <w:t xml:space="preserve"> or negligence) </w:t>
      </w:r>
    </w:p>
    <w:p w14:paraId="4C705FD4" w14:textId="0E1926F4" w:rsidR="00725349" w:rsidRDefault="00725349" w:rsidP="00142265"/>
    <w:p w14:paraId="1886EC1D" w14:textId="77777777" w:rsidR="00725349" w:rsidRDefault="00725349" w:rsidP="00142265">
      <w:r>
        <w:t>Unless the offence dictates an element, s 5.6 provides that:</w:t>
      </w:r>
    </w:p>
    <w:p w14:paraId="75F8176F" w14:textId="63A321A9" w:rsidR="00725349" w:rsidRDefault="00725349" w:rsidP="00725349">
      <w:pPr>
        <w:pStyle w:val="ListParagraph"/>
        <w:numPr>
          <w:ilvl w:val="0"/>
          <w:numId w:val="2"/>
        </w:numPr>
      </w:pPr>
      <w:r>
        <w:t>for a physical element that consists only of conduct, intention is the fault element</w:t>
      </w:r>
    </w:p>
    <w:p w14:paraId="044F4630" w14:textId="736E0C96" w:rsidR="00725349" w:rsidRDefault="00725349" w:rsidP="00725349">
      <w:pPr>
        <w:pStyle w:val="ListParagraph"/>
        <w:numPr>
          <w:ilvl w:val="0"/>
          <w:numId w:val="2"/>
        </w:numPr>
      </w:pPr>
      <w:r>
        <w:t xml:space="preserve">for a physical element that consists of a </w:t>
      </w:r>
      <w:r>
        <w:rPr>
          <w:i/>
          <w:iCs/>
        </w:rPr>
        <w:t>circumstance or a result</w:t>
      </w:r>
      <w:r>
        <w:t xml:space="preserve">, recklessness is the fault element </w:t>
      </w:r>
    </w:p>
    <w:p w14:paraId="5FE5C7EF" w14:textId="04044704" w:rsidR="00725349" w:rsidRDefault="00725349" w:rsidP="00725349"/>
    <w:p w14:paraId="33252677" w14:textId="63CD0CC4" w:rsidR="00725349" w:rsidRDefault="00725349" w:rsidP="00725349">
      <w:pPr>
        <w:rPr>
          <w:i/>
          <w:iCs/>
        </w:rPr>
      </w:pPr>
      <w:r>
        <w:rPr>
          <w:i/>
          <w:iCs/>
        </w:rPr>
        <w:t>example from recent Stockman sentence:</w:t>
      </w:r>
    </w:p>
    <w:p w14:paraId="4C6FA154" w14:textId="718D0375" w:rsidR="00725349" w:rsidRDefault="00725349" w:rsidP="00725349">
      <w:pPr>
        <w:rPr>
          <w:i/>
          <w:iCs/>
        </w:rPr>
      </w:pPr>
    </w:p>
    <w:p w14:paraId="489552CE" w14:textId="77777777" w:rsidR="00725349" w:rsidRPr="00725349" w:rsidRDefault="00725349" w:rsidP="00725349">
      <w:pPr>
        <w:spacing w:line="360" w:lineRule="auto"/>
        <w:ind w:left="360"/>
        <w:jc w:val="both"/>
        <w:rPr>
          <w:rFonts w:ascii="Calibri" w:hAnsi="Calibri"/>
          <w:szCs w:val="22"/>
          <w:u w:val="single"/>
        </w:rPr>
      </w:pPr>
      <w:r w:rsidRPr="00725349">
        <w:rPr>
          <w:rFonts w:ascii="Calibri" w:hAnsi="Calibri"/>
          <w:szCs w:val="22"/>
          <w:u w:val="single"/>
        </w:rPr>
        <w:t>Elements of the offences</w:t>
      </w:r>
    </w:p>
    <w:p w14:paraId="23967FAE" w14:textId="63DB8FC0" w:rsidR="00725349" w:rsidRPr="00725349" w:rsidRDefault="00725349" w:rsidP="00725349">
      <w:pPr>
        <w:numPr>
          <w:ilvl w:val="0"/>
          <w:numId w:val="3"/>
        </w:numPr>
        <w:spacing w:line="360" w:lineRule="auto"/>
        <w:ind w:left="720"/>
        <w:jc w:val="both"/>
        <w:rPr>
          <w:szCs w:val="22"/>
          <w:u w:val="single"/>
        </w:rPr>
      </w:pPr>
      <w:r w:rsidRPr="00725349">
        <w:rPr>
          <w:rFonts w:ascii="Calibri" w:hAnsi="Calibri"/>
          <w:szCs w:val="22"/>
        </w:rPr>
        <w:t>The minimu</w:t>
      </w:r>
      <w:r>
        <w:rPr>
          <w:rFonts w:ascii="Calibri" w:hAnsi="Calibri"/>
          <w:szCs w:val="22"/>
        </w:rPr>
        <w:t>m</w:t>
      </w:r>
      <w:r w:rsidRPr="00725349">
        <w:rPr>
          <w:rFonts w:ascii="Calibri" w:hAnsi="Calibri"/>
          <w:szCs w:val="22"/>
        </w:rPr>
        <w:t xml:space="preserve"> basis of liability in relation to charges 1-3 is as follows:</w:t>
      </w:r>
    </w:p>
    <w:p w14:paraId="5FACFDB1" w14:textId="77777777" w:rsidR="00725349" w:rsidRPr="00725349" w:rsidRDefault="00725349" w:rsidP="00725349">
      <w:pPr>
        <w:numPr>
          <w:ilvl w:val="0"/>
          <w:numId w:val="4"/>
        </w:numPr>
        <w:tabs>
          <w:tab w:val="clear" w:pos="720"/>
          <w:tab w:val="num" w:pos="1080"/>
        </w:tabs>
        <w:spacing w:before="120" w:after="240"/>
        <w:ind w:left="1004"/>
        <w:rPr>
          <w:rFonts w:cstheme="minorHAnsi"/>
          <w:szCs w:val="22"/>
          <w:lang w:eastAsia="en-GB"/>
        </w:rPr>
      </w:pPr>
      <w:r w:rsidRPr="00725349">
        <w:rPr>
          <w:rFonts w:cstheme="minorHAnsi"/>
          <w:szCs w:val="22"/>
          <w:lang w:eastAsia="en-GB"/>
        </w:rPr>
        <w:t>Physical element: defendant gives information to another person (conduct)</w:t>
      </w:r>
      <w:r w:rsidRPr="00725349">
        <w:rPr>
          <w:rFonts w:cstheme="minorHAnsi"/>
          <w:szCs w:val="22"/>
          <w:lang w:eastAsia="en-GB"/>
        </w:rPr>
        <w:br/>
        <w:t>Fault: Intention (subsection 5.4 Criminal Code)</w:t>
      </w:r>
    </w:p>
    <w:p w14:paraId="0A8D5415" w14:textId="06631615" w:rsidR="00725349" w:rsidRPr="00725349" w:rsidRDefault="00725349" w:rsidP="00725349">
      <w:pPr>
        <w:numPr>
          <w:ilvl w:val="0"/>
          <w:numId w:val="4"/>
        </w:numPr>
        <w:tabs>
          <w:tab w:val="clear" w:pos="720"/>
          <w:tab w:val="num" w:pos="1080"/>
        </w:tabs>
        <w:spacing w:before="120" w:after="240"/>
        <w:ind w:left="1004"/>
        <w:rPr>
          <w:rFonts w:cstheme="minorHAnsi"/>
          <w:szCs w:val="22"/>
          <w:lang w:eastAsia="en-GB"/>
        </w:rPr>
      </w:pPr>
      <w:r w:rsidRPr="00725349">
        <w:rPr>
          <w:rFonts w:cstheme="minorHAnsi"/>
          <w:szCs w:val="22"/>
          <w:lang w:eastAsia="en-GB"/>
        </w:rPr>
        <w:t>Physical element: The information is false or misleading (circumstance)</w:t>
      </w:r>
      <w:r w:rsidRPr="00725349">
        <w:rPr>
          <w:rFonts w:cstheme="minorHAnsi"/>
          <w:szCs w:val="22"/>
          <w:lang w:eastAsia="en-GB"/>
        </w:rPr>
        <w:br/>
        <w:t>Fault: Recklessness (subsection 5.4 Criminal Code)</w:t>
      </w:r>
    </w:p>
    <w:p w14:paraId="6ADF68DE" w14:textId="77777777" w:rsidR="00725349" w:rsidRPr="00725349" w:rsidRDefault="00725349" w:rsidP="00725349">
      <w:pPr>
        <w:numPr>
          <w:ilvl w:val="0"/>
          <w:numId w:val="4"/>
        </w:numPr>
        <w:tabs>
          <w:tab w:val="clear" w:pos="720"/>
          <w:tab w:val="num" w:pos="1080"/>
        </w:tabs>
        <w:spacing w:before="120" w:after="240"/>
        <w:ind w:left="1004"/>
        <w:rPr>
          <w:rFonts w:cstheme="minorHAnsi"/>
          <w:szCs w:val="22"/>
          <w:lang w:eastAsia="en-GB"/>
        </w:rPr>
      </w:pPr>
      <w:r w:rsidRPr="00725349">
        <w:rPr>
          <w:rFonts w:cstheme="minorHAnsi"/>
          <w:szCs w:val="22"/>
          <w:lang w:eastAsia="en-GB"/>
        </w:rPr>
        <w:t>Physical element: The information was given in connection with an Australian travel document (circumstance)</w:t>
      </w:r>
      <w:r w:rsidRPr="00725349">
        <w:rPr>
          <w:rFonts w:cstheme="minorHAnsi"/>
          <w:szCs w:val="22"/>
          <w:lang w:eastAsia="en-GB"/>
        </w:rPr>
        <w:br/>
        <w:t>Fault: Recklessness (subsection 5.4 Criminal Code).</w:t>
      </w:r>
    </w:p>
    <w:p w14:paraId="49CA8794" w14:textId="1516BD97" w:rsidR="00725349" w:rsidRDefault="00725349" w:rsidP="00725349"/>
    <w:p w14:paraId="24740101" w14:textId="494F8C78" w:rsidR="00D24E78" w:rsidRDefault="00D24E78" w:rsidP="00725349">
      <w:pPr>
        <w:rPr>
          <w:b/>
          <w:bCs/>
        </w:rPr>
      </w:pPr>
      <w:r>
        <w:rPr>
          <w:b/>
          <w:bCs/>
        </w:rPr>
        <w:t xml:space="preserve">Regarding </w:t>
      </w:r>
      <w:r w:rsidRPr="00D24E78">
        <w:rPr>
          <w:b/>
          <w:bCs/>
          <w:u w:val="single"/>
        </w:rPr>
        <w:t>attempts</w:t>
      </w:r>
      <w:r>
        <w:rPr>
          <w:b/>
          <w:bCs/>
        </w:rPr>
        <w:t xml:space="preserve"> to commit offences </w:t>
      </w:r>
    </w:p>
    <w:p w14:paraId="0BCCBFE6" w14:textId="48EA8809" w:rsidR="00D24E78" w:rsidRDefault="00D24E78" w:rsidP="00725349">
      <w:pPr>
        <w:rPr>
          <w:b/>
          <w:bCs/>
        </w:rPr>
      </w:pPr>
    </w:p>
    <w:p w14:paraId="48AC2A61" w14:textId="5E54D456" w:rsidR="004A029E" w:rsidRDefault="00D24E78" w:rsidP="00AA2718">
      <w:r w:rsidRPr="00D24E78">
        <w:t xml:space="preserve">Importantly, </w:t>
      </w:r>
      <w:r w:rsidRPr="00D24E78">
        <w:rPr>
          <w:b/>
          <w:bCs/>
        </w:rPr>
        <w:t>s 11.3</w:t>
      </w:r>
      <w:r w:rsidRPr="00D24E78">
        <w:t xml:space="preserve"> provides that for an attempt offence, 'intention and knowledge are the fault elements in relation to each physical element of the offence attempted'. If a client is charged with possessing a border controlled </w:t>
      </w:r>
      <w:proofErr w:type="gramStart"/>
      <w:r w:rsidRPr="00D24E78">
        <w:t>drug</w:t>
      </w:r>
      <w:proofErr w:type="gramEnd"/>
      <w:r w:rsidRPr="00D24E78">
        <w:t xml:space="preserve"> then the fault element is recklessness but where the offence is an attempt (usually because the drugs have been removed by authorities in a controlled delivery) the </w:t>
      </w:r>
      <w:r w:rsidRPr="00AA2718">
        <w:rPr>
          <w:u w:val="single"/>
        </w:rPr>
        <w:t>prosecution must prove actual knowledge</w:t>
      </w:r>
      <w:r w:rsidRPr="00D24E78">
        <w:t xml:space="preserve"> of the drugs. This can be a difficult for the Crown in the absence of admissions.</w:t>
      </w:r>
    </w:p>
    <w:p w14:paraId="7762D7EE" w14:textId="2602CCDC" w:rsidR="00355B5E" w:rsidRDefault="00355B5E" w:rsidP="00AA2718"/>
    <w:p w14:paraId="5479D017" w14:textId="6030D6B9" w:rsidR="00355B5E" w:rsidRDefault="00355B5E" w:rsidP="00AA2718"/>
    <w:tbl>
      <w:tblPr>
        <w:tblStyle w:val="TableGrid"/>
        <w:tblW w:w="0" w:type="auto"/>
        <w:shd w:val="clear" w:color="auto" w:fill="BDD6EE" w:themeFill="accent5" w:themeFillTint="66"/>
        <w:tblLook w:val="04A0" w:firstRow="1" w:lastRow="0" w:firstColumn="1" w:lastColumn="0" w:noHBand="0" w:noVBand="1"/>
      </w:tblPr>
      <w:tblGrid>
        <w:gridCol w:w="9016"/>
      </w:tblGrid>
      <w:tr w:rsidR="00355B5E" w14:paraId="479BB9C6" w14:textId="77777777" w:rsidTr="00E96DFA">
        <w:trPr>
          <w:trHeight w:val="461"/>
        </w:trPr>
        <w:tc>
          <w:tcPr>
            <w:tcW w:w="9016" w:type="dxa"/>
            <w:shd w:val="clear" w:color="auto" w:fill="BDD6EE" w:themeFill="accent5" w:themeFillTint="66"/>
          </w:tcPr>
          <w:p w14:paraId="3FFC281D" w14:textId="56AA6E17" w:rsidR="00355B5E" w:rsidRDefault="00355B5E" w:rsidP="00E96DFA">
            <w:pPr>
              <w:jc w:val="center"/>
              <w:rPr>
                <w:b/>
                <w:bCs/>
              </w:rPr>
            </w:pPr>
            <w:r>
              <w:rPr>
                <w:b/>
                <w:bCs/>
              </w:rPr>
              <w:t xml:space="preserve">Party liability </w:t>
            </w:r>
            <w:r>
              <w:rPr>
                <w:b/>
                <w:bCs/>
              </w:rPr>
              <w:t xml:space="preserve">  </w:t>
            </w:r>
          </w:p>
        </w:tc>
      </w:tr>
    </w:tbl>
    <w:p w14:paraId="3C32C795" w14:textId="77777777" w:rsidR="00355B5E" w:rsidRDefault="00355B5E" w:rsidP="00355B5E">
      <w:pPr>
        <w:rPr>
          <w:b/>
          <w:bCs/>
        </w:rPr>
      </w:pPr>
    </w:p>
    <w:p w14:paraId="466F812A" w14:textId="35D2554E" w:rsidR="00355B5E" w:rsidRDefault="00355B5E" w:rsidP="00355B5E">
      <w:r>
        <w:rPr>
          <w:b/>
          <w:bCs/>
        </w:rPr>
        <w:lastRenderedPageBreak/>
        <w:t>Qld s 7 liability</w:t>
      </w:r>
      <w:r>
        <w:t xml:space="preserve"> </w:t>
      </w:r>
      <w:r w:rsidRPr="00355B5E">
        <w:rPr>
          <w:u w:val="single"/>
        </w:rPr>
        <w:t>mirrored by section 11.2</w:t>
      </w:r>
      <w:r>
        <w:t xml:space="preserve"> of the Commonwealth Criminal Code Act 1995 – captures offenders who </w:t>
      </w:r>
      <w:r w:rsidR="0065096D">
        <w:t xml:space="preserve">have engaged in conduct which aided, abetted, </w:t>
      </w:r>
      <w:proofErr w:type="gramStart"/>
      <w:r w:rsidR="0065096D">
        <w:t>counselled</w:t>
      </w:r>
      <w:proofErr w:type="gramEnd"/>
      <w:r w:rsidR="0065096D">
        <w:t xml:space="preserve"> or procured the commission of the offence by another person. Further requires:</w:t>
      </w:r>
    </w:p>
    <w:p w14:paraId="611F5897" w14:textId="3CE91761" w:rsidR="0065096D" w:rsidRDefault="0065096D" w:rsidP="0065096D">
      <w:pPr>
        <w:pStyle w:val="ListParagraph"/>
        <w:numPr>
          <w:ilvl w:val="0"/>
          <w:numId w:val="11"/>
        </w:numPr>
      </w:pPr>
      <w:r>
        <w:t xml:space="preserve">The offence </w:t>
      </w:r>
      <w:proofErr w:type="gramStart"/>
      <w:r>
        <w:t>actually committed</w:t>
      </w:r>
      <w:proofErr w:type="gramEnd"/>
    </w:p>
    <w:p w14:paraId="305741C4" w14:textId="77777777" w:rsidR="0065096D" w:rsidRDefault="0065096D" w:rsidP="0065096D">
      <w:pPr>
        <w:pStyle w:val="ListParagraph"/>
        <w:numPr>
          <w:ilvl w:val="0"/>
          <w:numId w:val="11"/>
        </w:numPr>
      </w:pPr>
      <w:r>
        <w:t xml:space="preserve">Intended that their conduct would aid etc the offence to be committed </w:t>
      </w:r>
      <w:r>
        <w:rPr>
          <w:i/>
          <w:iCs/>
        </w:rPr>
        <w:t xml:space="preserve">or </w:t>
      </w:r>
      <w:r>
        <w:t xml:space="preserve">can be on recklessness </w:t>
      </w:r>
    </w:p>
    <w:p w14:paraId="3B5B78F2" w14:textId="77777777" w:rsidR="0065096D" w:rsidRDefault="0065096D" w:rsidP="0065096D"/>
    <w:p w14:paraId="5532C6B1" w14:textId="48D4F3F3" w:rsidR="0065096D" w:rsidRDefault="0065096D" w:rsidP="0065096D">
      <w:r>
        <w:t xml:space="preserve">However not liable under 11.2 if the party terminates their involvement before the commission of the offence and took all reasonable steps to prevent the commission of the offence. </w:t>
      </w:r>
    </w:p>
    <w:p w14:paraId="2C9F844D" w14:textId="7EA33B56" w:rsidR="0065096D" w:rsidRDefault="0065096D" w:rsidP="0065096D"/>
    <w:p w14:paraId="57284961" w14:textId="3F93E0E2" w:rsidR="0065096D" w:rsidRDefault="0065096D" w:rsidP="0065096D"/>
    <w:p w14:paraId="2727255B" w14:textId="4375FBD3" w:rsidR="0065096D" w:rsidRPr="00592C81" w:rsidRDefault="0065096D" w:rsidP="0065096D">
      <w:pPr>
        <w:rPr>
          <w:i/>
          <w:iCs/>
        </w:rPr>
      </w:pPr>
      <w:r>
        <w:rPr>
          <w:b/>
          <w:bCs/>
        </w:rPr>
        <w:t>Qld s 8 liability</w:t>
      </w:r>
      <w:r>
        <w:t xml:space="preserve"> (probable consequence) loosely mirrored by s 11.2A</w:t>
      </w:r>
      <w:r w:rsidR="00592C81">
        <w:t xml:space="preserve"> (discusses recklessness as to principal offender committing the other offence). Common law doctrine shifted in the </w:t>
      </w:r>
      <w:proofErr w:type="spellStart"/>
      <w:r w:rsidR="00592C81">
        <w:t>Cth</w:t>
      </w:r>
      <w:proofErr w:type="spellEnd"/>
      <w:r w:rsidR="00592C81">
        <w:t xml:space="preserve"> Code in that they must realise the commission of the additional offence was a ‘substantial risk’ from the common purpose rather than a mere possibility. (</w:t>
      </w:r>
      <w:proofErr w:type="gramStart"/>
      <w:r w:rsidR="00592C81">
        <w:rPr>
          <w:i/>
          <w:iCs/>
        </w:rPr>
        <w:t>really</w:t>
      </w:r>
      <w:proofErr w:type="gramEnd"/>
      <w:r w:rsidR="00592C81">
        <w:rPr>
          <w:i/>
          <w:iCs/>
        </w:rPr>
        <w:t xml:space="preserve"> similar to Qld position in terms of probable consequences) </w:t>
      </w:r>
    </w:p>
    <w:p w14:paraId="264F5623" w14:textId="77777777" w:rsidR="00355B5E" w:rsidRDefault="00355B5E" w:rsidP="00355B5E">
      <w:pPr>
        <w:rPr>
          <w:b/>
          <w:bCs/>
        </w:rPr>
      </w:pPr>
    </w:p>
    <w:p w14:paraId="6DD73C3E" w14:textId="5CF35D14" w:rsidR="00355B5E" w:rsidRPr="00355B5E" w:rsidRDefault="00355B5E" w:rsidP="00355B5E">
      <w:r>
        <w:rPr>
          <w:b/>
          <w:bCs/>
        </w:rPr>
        <w:t>Accessory after the fact</w:t>
      </w:r>
      <w:r>
        <w:t xml:space="preserve"> mirrored by section 6 of the Crimes Act. </w:t>
      </w:r>
    </w:p>
    <w:p w14:paraId="4CAA6547" w14:textId="3D08044D" w:rsidR="00355B5E" w:rsidRPr="00355B5E" w:rsidRDefault="00355B5E" w:rsidP="00355B5E"/>
    <w:p w14:paraId="5EAB1D64" w14:textId="659377F7" w:rsidR="0099413D" w:rsidRDefault="0099413D" w:rsidP="004A029E">
      <w:pPr>
        <w:jc w:val="center"/>
      </w:pPr>
    </w:p>
    <w:tbl>
      <w:tblPr>
        <w:tblStyle w:val="TableGrid"/>
        <w:tblW w:w="0" w:type="auto"/>
        <w:shd w:val="clear" w:color="auto" w:fill="BDD6EE" w:themeFill="accent5" w:themeFillTint="66"/>
        <w:tblLook w:val="04A0" w:firstRow="1" w:lastRow="0" w:firstColumn="1" w:lastColumn="0" w:noHBand="0" w:noVBand="1"/>
      </w:tblPr>
      <w:tblGrid>
        <w:gridCol w:w="9016"/>
      </w:tblGrid>
      <w:tr w:rsidR="00AA2718" w14:paraId="6039A233" w14:textId="77777777" w:rsidTr="00E96DFA">
        <w:trPr>
          <w:trHeight w:val="461"/>
        </w:trPr>
        <w:tc>
          <w:tcPr>
            <w:tcW w:w="9016" w:type="dxa"/>
            <w:shd w:val="clear" w:color="auto" w:fill="BDD6EE" w:themeFill="accent5" w:themeFillTint="66"/>
          </w:tcPr>
          <w:p w14:paraId="6B4F6745" w14:textId="414C5D56" w:rsidR="00AA2718" w:rsidRDefault="00AA2718" w:rsidP="00E96DFA">
            <w:pPr>
              <w:jc w:val="center"/>
              <w:rPr>
                <w:b/>
                <w:bCs/>
              </w:rPr>
            </w:pPr>
            <w:r>
              <w:rPr>
                <w:b/>
                <w:bCs/>
              </w:rPr>
              <w:t>Bail</w:t>
            </w:r>
            <w:r>
              <w:rPr>
                <w:b/>
                <w:bCs/>
              </w:rPr>
              <w:t xml:space="preserve">  </w:t>
            </w:r>
          </w:p>
        </w:tc>
      </w:tr>
    </w:tbl>
    <w:p w14:paraId="1E105A2B" w14:textId="77777777" w:rsidR="00AA2718" w:rsidRDefault="00AA2718" w:rsidP="00AA2718">
      <w:pPr>
        <w:jc w:val="center"/>
        <w:rPr>
          <w:b/>
          <w:bCs/>
        </w:rPr>
      </w:pPr>
    </w:p>
    <w:p w14:paraId="745FDCB7" w14:textId="2B668485" w:rsidR="00AA2718" w:rsidRDefault="000B760C" w:rsidP="00AA2718">
      <w:r w:rsidRPr="007964F6">
        <w:rPr>
          <w:b/>
          <w:bCs/>
        </w:rPr>
        <w:t>Procedurally</w:t>
      </w:r>
      <w:r>
        <w:t>, s 68 of the Judiciary Act 1903 (</w:t>
      </w:r>
      <w:proofErr w:type="spellStart"/>
      <w:r>
        <w:t>Cth</w:t>
      </w:r>
      <w:proofErr w:type="spellEnd"/>
      <w:r>
        <w:t>) applies state procedures to Commonwealth matters</w:t>
      </w:r>
      <w:r w:rsidR="007964F6">
        <w:t xml:space="preserve"> (which also confers procedural application of state laws regarding summary conviction, committal and trials and appeals). </w:t>
      </w:r>
    </w:p>
    <w:p w14:paraId="16F6BE1B" w14:textId="56B64DA7" w:rsidR="007964F6" w:rsidRDefault="007964F6" w:rsidP="00AA2718"/>
    <w:p w14:paraId="2ACDE2F3" w14:textId="6B298C7A" w:rsidR="007964F6" w:rsidRDefault="007964F6" w:rsidP="00AA2718">
      <w:r>
        <w:rPr>
          <w:b/>
          <w:bCs/>
        </w:rPr>
        <w:t xml:space="preserve">Bail criteria </w:t>
      </w:r>
      <w:r>
        <w:t>set out in s 15AAA of the Crimes Act (equivalent of our s 16). Key considerations under that section are</w:t>
      </w:r>
      <w:r w:rsidR="00B277C3">
        <w:t xml:space="preserve"> whether the person would be likely to fail to appear, commit a further offence, put at risk the safety of the community or case any person to suffer any harm, </w:t>
      </w:r>
      <w:r w:rsidR="00B277C3">
        <w:rPr>
          <w:b/>
          <w:bCs/>
        </w:rPr>
        <w:t>conceal fabricate or destroy evidence or intimidate a witness</w:t>
      </w:r>
    </w:p>
    <w:p w14:paraId="33FF0F65" w14:textId="5AFE5EE5" w:rsidR="00B277C3" w:rsidRDefault="00B277C3" w:rsidP="00AA2718"/>
    <w:p w14:paraId="6B8B62C9" w14:textId="556A889C" w:rsidR="00B277C3" w:rsidRPr="00B277C3" w:rsidRDefault="00B277C3" w:rsidP="00AA2718">
      <w:r>
        <w:t>Must also consider whether they were 18 or older.</w:t>
      </w:r>
    </w:p>
    <w:p w14:paraId="27C8EEBA" w14:textId="627B1256" w:rsidR="007964F6" w:rsidRDefault="007964F6" w:rsidP="00AA2718"/>
    <w:p w14:paraId="267B52FF" w14:textId="7A621C4C" w:rsidR="007964F6" w:rsidRPr="00B277C3" w:rsidRDefault="00B277C3" w:rsidP="00B277C3">
      <w:r>
        <w:t xml:space="preserve">A </w:t>
      </w:r>
      <w:r>
        <w:rPr>
          <w:b/>
          <w:bCs/>
        </w:rPr>
        <w:t>show cause</w:t>
      </w:r>
      <w:r>
        <w:t xml:space="preserve"> situation is prescribed for certain offences as set out in s 15AAA (including importing marketable quantities of </w:t>
      </w:r>
      <w:proofErr w:type="gramStart"/>
      <w:r>
        <w:t>border controlled</w:t>
      </w:r>
      <w:proofErr w:type="gramEnd"/>
      <w:r>
        <w:t xml:space="preserve"> drugs over certain thresholds (less than 250 grams of amphetamines, cocaine or heroin)</w:t>
      </w:r>
      <w:r w:rsidR="00D9334F">
        <w:t xml:space="preserve">, terrorism offences, offences resulting in death </w:t>
      </w:r>
    </w:p>
    <w:p w14:paraId="2090453E" w14:textId="77777777" w:rsidR="007964F6" w:rsidRPr="007964F6" w:rsidRDefault="007964F6" w:rsidP="00AA2718"/>
    <w:tbl>
      <w:tblPr>
        <w:tblStyle w:val="TableGrid"/>
        <w:tblW w:w="0" w:type="auto"/>
        <w:shd w:val="clear" w:color="auto" w:fill="BDD6EE" w:themeFill="accent5" w:themeFillTint="66"/>
        <w:tblLook w:val="04A0" w:firstRow="1" w:lastRow="0" w:firstColumn="1" w:lastColumn="0" w:noHBand="0" w:noVBand="1"/>
      </w:tblPr>
      <w:tblGrid>
        <w:gridCol w:w="9016"/>
      </w:tblGrid>
      <w:tr w:rsidR="00D9334F" w14:paraId="74EC5602" w14:textId="77777777" w:rsidTr="00E96DFA">
        <w:trPr>
          <w:trHeight w:val="461"/>
        </w:trPr>
        <w:tc>
          <w:tcPr>
            <w:tcW w:w="9016" w:type="dxa"/>
            <w:shd w:val="clear" w:color="auto" w:fill="BDD6EE" w:themeFill="accent5" w:themeFillTint="66"/>
          </w:tcPr>
          <w:p w14:paraId="3495E12D" w14:textId="60BF6569" w:rsidR="00D9334F" w:rsidRDefault="00D9334F" w:rsidP="00E96DFA">
            <w:pPr>
              <w:jc w:val="center"/>
              <w:rPr>
                <w:b/>
                <w:bCs/>
              </w:rPr>
            </w:pPr>
            <w:r>
              <w:rPr>
                <w:b/>
                <w:bCs/>
              </w:rPr>
              <w:t xml:space="preserve">Time limit for prosecution </w:t>
            </w:r>
            <w:r w:rsidR="0057705E">
              <w:rPr>
                <w:b/>
                <w:bCs/>
              </w:rPr>
              <w:t>(15B Crimes Act)</w:t>
            </w:r>
          </w:p>
        </w:tc>
      </w:tr>
    </w:tbl>
    <w:p w14:paraId="29AC82B0" w14:textId="77777777" w:rsidR="00D9334F" w:rsidRDefault="00D9334F" w:rsidP="00D9334F">
      <w:pPr>
        <w:jc w:val="center"/>
        <w:rPr>
          <w:b/>
          <w:bCs/>
        </w:rPr>
      </w:pPr>
    </w:p>
    <w:p w14:paraId="5A1E6C6F" w14:textId="4B370FED" w:rsidR="00D9334F" w:rsidRDefault="0057705E" w:rsidP="00D9334F">
      <w:r>
        <w:rPr>
          <w:b/>
          <w:bCs/>
        </w:rPr>
        <w:t>No limit</w:t>
      </w:r>
      <w:r>
        <w:t xml:space="preserve"> if offence is punishable by </w:t>
      </w:r>
      <w:r>
        <w:rPr>
          <w:u w:val="single"/>
        </w:rPr>
        <w:t>more than 6 months imprisonment</w:t>
      </w:r>
      <w:r>
        <w:t xml:space="preserve"> (much broader than Qld)</w:t>
      </w:r>
    </w:p>
    <w:p w14:paraId="1A6AD97B" w14:textId="10260A1F" w:rsidR="0057705E" w:rsidRDefault="0057705E" w:rsidP="00D9334F"/>
    <w:p w14:paraId="1E5EF0D9" w14:textId="687C1FC7" w:rsidR="0057705E" w:rsidRDefault="0057705E" w:rsidP="00D9334F">
      <w:r>
        <w:t>Otherwise, 12 months (same as Qld)</w:t>
      </w:r>
    </w:p>
    <w:p w14:paraId="2076CEBA" w14:textId="77777777" w:rsidR="0057705E" w:rsidRPr="007964F6" w:rsidRDefault="0057705E" w:rsidP="0057705E"/>
    <w:tbl>
      <w:tblPr>
        <w:tblStyle w:val="TableGrid"/>
        <w:tblW w:w="0" w:type="auto"/>
        <w:shd w:val="clear" w:color="auto" w:fill="BDD6EE" w:themeFill="accent5" w:themeFillTint="66"/>
        <w:tblLook w:val="04A0" w:firstRow="1" w:lastRow="0" w:firstColumn="1" w:lastColumn="0" w:noHBand="0" w:noVBand="1"/>
      </w:tblPr>
      <w:tblGrid>
        <w:gridCol w:w="9016"/>
      </w:tblGrid>
      <w:tr w:rsidR="0057705E" w14:paraId="67099FDA" w14:textId="77777777" w:rsidTr="00E96DFA">
        <w:trPr>
          <w:trHeight w:val="461"/>
        </w:trPr>
        <w:tc>
          <w:tcPr>
            <w:tcW w:w="9016" w:type="dxa"/>
            <w:shd w:val="clear" w:color="auto" w:fill="BDD6EE" w:themeFill="accent5" w:themeFillTint="66"/>
          </w:tcPr>
          <w:p w14:paraId="08E57D6E" w14:textId="4D3ADB09" w:rsidR="0057705E" w:rsidRDefault="0057705E" w:rsidP="00E96DFA">
            <w:pPr>
              <w:jc w:val="center"/>
              <w:rPr>
                <w:b/>
                <w:bCs/>
              </w:rPr>
            </w:pPr>
            <w:proofErr w:type="spellStart"/>
            <w:r>
              <w:rPr>
                <w:b/>
                <w:bCs/>
              </w:rPr>
              <w:lastRenderedPageBreak/>
              <w:t>Doli</w:t>
            </w:r>
            <w:proofErr w:type="spellEnd"/>
            <w:r>
              <w:rPr>
                <w:b/>
                <w:bCs/>
              </w:rPr>
              <w:t xml:space="preserve"> Incapax</w:t>
            </w:r>
          </w:p>
        </w:tc>
      </w:tr>
    </w:tbl>
    <w:p w14:paraId="71B21BAA" w14:textId="52030A61" w:rsidR="0057705E" w:rsidRDefault="0057705E" w:rsidP="0057705E">
      <w:r>
        <w:t>Position is identical to Qld:</w:t>
      </w:r>
    </w:p>
    <w:p w14:paraId="59B21470" w14:textId="1FC6E76E" w:rsidR="0057705E" w:rsidRDefault="0057705E" w:rsidP="0057705E"/>
    <w:p w14:paraId="2CA9192A" w14:textId="3F93D735" w:rsidR="0057705E" w:rsidRDefault="0057705E" w:rsidP="0057705E">
      <w:pPr>
        <w:pStyle w:val="ListParagraph"/>
        <w:numPr>
          <w:ilvl w:val="0"/>
          <w:numId w:val="9"/>
        </w:numPr>
      </w:pPr>
      <w:r>
        <w:t xml:space="preserve">Under 10 cannot be liable for a </w:t>
      </w:r>
      <w:proofErr w:type="spellStart"/>
      <w:r>
        <w:t>Cth</w:t>
      </w:r>
      <w:proofErr w:type="spellEnd"/>
      <w:r>
        <w:t xml:space="preserve"> offence (s 4M Crimes Act)</w:t>
      </w:r>
    </w:p>
    <w:p w14:paraId="25B3EFE9" w14:textId="1BC5ECD3" w:rsidR="0057705E" w:rsidRPr="0057705E" w:rsidRDefault="0057705E" w:rsidP="0057705E">
      <w:pPr>
        <w:pStyle w:val="ListParagraph"/>
        <w:numPr>
          <w:ilvl w:val="0"/>
          <w:numId w:val="9"/>
        </w:numPr>
      </w:pPr>
      <w:r>
        <w:t xml:space="preserve">Between 10 and 13 can only be liable if child knows </w:t>
      </w:r>
      <w:proofErr w:type="spellStart"/>
      <w:r>
        <w:t>htat</w:t>
      </w:r>
      <w:proofErr w:type="spellEnd"/>
      <w:r>
        <w:t xml:space="preserve"> conduct is wrong – question of fact to be proved by the prosecution (s 4N)</w:t>
      </w:r>
    </w:p>
    <w:p w14:paraId="7CDC09F4" w14:textId="77777777" w:rsidR="0057705E" w:rsidRPr="0057705E" w:rsidRDefault="0057705E" w:rsidP="00D9334F"/>
    <w:p w14:paraId="6DC5C4F0" w14:textId="77777777" w:rsidR="0099413D" w:rsidRPr="00672195" w:rsidRDefault="0099413D" w:rsidP="0099413D">
      <w:pPr>
        <w:jc w:val="center"/>
      </w:pPr>
    </w:p>
    <w:tbl>
      <w:tblPr>
        <w:tblStyle w:val="TableGrid"/>
        <w:tblW w:w="0" w:type="auto"/>
        <w:shd w:val="clear" w:color="auto" w:fill="BDD6EE" w:themeFill="accent5" w:themeFillTint="66"/>
        <w:tblLook w:val="04A0" w:firstRow="1" w:lastRow="0" w:firstColumn="1" w:lastColumn="0" w:noHBand="0" w:noVBand="1"/>
      </w:tblPr>
      <w:tblGrid>
        <w:gridCol w:w="9016"/>
      </w:tblGrid>
      <w:tr w:rsidR="0099413D" w14:paraId="2DB5B6A5" w14:textId="77777777" w:rsidTr="00E96DFA">
        <w:trPr>
          <w:trHeight w:val="461"/>
        </w:trPr>
        <w:tc>
          <w:tcPr>
            <w:tcW w:w="9016" w:type="dxa"/>
            <w:shd w:val="clear" w:color="auto" w:fill="BDD6EE" w:themeFill="accent5" w:themeFillTint="66"/>
          </w:tcPr>
          <w:p w14:paraId="572125D8" w14:textId="23813C52" w:rsidR="0099413D" w:rsidRDefault="0099413D" w:rsidP="00E96DFA">
            <w:pPr>
              <w:jc w:val="center"/>
              <w:rPr>
                <w:b/>
                <w:bCs/>
              </w:rPr>
            </w:pPr>
            <w:r>
              <w:rPr>
                <w:b/>
                <w:bCs/>
              </w:rPr>
              <w:t xml:space="preserve">Mental health </w:t>
            </w:r>
            <w:r>
              <w:rPr>
                <w:b/>
                <w:bCs/>
              </w:rPr>
              <w:t xml:space="preserve"> </w:t>
            </w:r>
          </w:p>
        </w:tc>
      </w:tr>
    </w:tbl>
    <w:p w14:paraId="2016CC20" w14:textId="4018E211" w:rsidR="00385730" w:rsidRDefault="00385730" w:rsidP="0099413D"/>
    <w:p w14:paraId="15A58929" w14:textId="072A9AD6" w:rsidR="00385730" w:rsidRDefault="00385730" w:rsidP="0099413D">
      <w:pPr>
        <w:rPr>
          <w:b/>
          <w:bCs/>
        </w:rPr>
      </w:pPr>
      <w:r>
        <w:rPr>
          <w:b/>
          <w:bCs/>
        </w:rPr>
        <w:t>Application of defences</w:t>
      </w:r>
    </w:p>
    <w:p w14:paraId="0882C6A8" w14:textId="1C0BD661" w:rsidR="00385730" w:rsidRDefault="00385730" w:rsidP="0099413D">
      <w:pPr>
        <w:rPr>
          <w:b/>
          <w:bCs/>
        </w:rPr>
      </w:pPr>
    </w:p>
    <w:p w14:paraId="0D2BF553" w14:textId="390842B4" w:rsidR="00385730" w:rsidRDefault="00385730" w:rsidP="0099413D">
      <w:r>
        <w:t xml:space="preserve">Arises under s </w:t>
      </w:r>
      <w:r w:rsidRPr="00385730">
        <w:rPr>
          <w:b/>
          <w:bCs/>
        </w:rPr>
        <w:t>7.3</w:t>
      </w:r>
      <w:r>
        <w:t xml:space="preserve"> of the Commonwealth Criminal Code:</w:t>
      </w:r>
    </w:p>
    <w:p w14:paraId="0CF3B76E" w14:textId="7CD0A7BC" w:rsidR="00385730" w:rsidRDefault="00385730" w:rsidP="0099413D"/>
    <w:p w14:paraId="5C9056C8" w14:textId="77777777" w:rsidR="00385730" w:rsidRDefault="00385730" w:rsidP="00385730">
      <w:r>
        <w:t>(1)  A person is not criminally responsible for an offence if, at the time of carrying out the conduct constituting the offence, the person was suffering from a mental impairment that had the effect that:</w:t>
      </w:r>
    </w:p>
    <w:p w14:paraId="285E29F9" w14:textId="77777777" w:rsidR="00385730" w:rsidRDefault="00385730" w:rsidP="00385730"/>
    <w:p w14:paraId="3F7CFDD7" w14:textId="77777777" w:rsidR="00385730" w:rsidRDefault="00385730" w:rsidP="00385730">
      <w:r>
        <w:t xml:space="preserve">                     (a)  the person did not know the nature and quality of the conduct; or</w:t>
      </w:r>
    </w:p>
    <w:p w14:paraId="3922E66A" w14:textId="77777777" w:rsidR="00385730" w:rsidRDefault="00385730" w:rsidP="00385730"/>
    <w:p w14:paraId="0AEE4B06" w14:textId="77777777" w:rsidR="00385730" w:rsidRDefault="00385730" w:rsidP="00385730">
      <w:r>
        <w:t xml:space="preserve">                     (b)  the person did not know that the conduct was wrong (that is, the person could not reason with a moderate degree of sense and composure about whether the conduct, as perceived by reasonable people, was wrong); or</w:t>
      </w:r>
    </w:p>
    <w:p w14:paraId="72C0E8D6" w14:textId="77777777" w:rsidR="00385730" w:rsidRDefault="00385730" w:rsidP="00385730"/>
    <w:p w14:paraId="6BBFE103" w14:textId="6DB15AC4" w:rsidR="00385730" w:rsidRPr="00385730" w:rsidRDefault="00385730" w:rsidP="00385730">
      <w:r>
        <w:t xml:space="preserve">                     (c)  the person was unable to control the conduct.</w:t>
      </w:r>
    </w:p>
    <w:p w14:paraId="43608AC6" w14:textId="04363337" w:rsidR="00385730" w:rsidRDefault="00385730" w:rsidP="0099413D">
      <w:pPr>
        <w:rPr>
          <w:b/>
          <w:bCs/>
        </w:rPr>
      </w:pPr>
    </w:p>
    <w:p w14:paraId="2E5766C6" w14:textId="1FBDFD72" w:rsidR="00385730" w:rsidRDefault="00385730" w:rsidP="0099413D">
      <w:r>
        <w:t>Subsection 9 clarifies that it may be permanent or temporary unsoundness and does not include a condition that results from “the reaction of a health mind to extraordinary stimuli”</w:t>
      </w:r>
    </w:p>
    <w:p w14:paraId="56B0C479" w14:textId="566E296D" w:rsidR="00385730" w:rsidRDefault="00385730" w:rsidP="0099413D"/>
    <w:p w14:paraId="5B3821C6" w14:textId="2D578894" w:rsidR="00385730" w:rsidRPr="0023371E" w:rsidRDefault="0023371E" w:rsidP="0099413D">
      <w:r>
        <w:t xml:space="preserve">Must be proved on the </w:t>
      </w:r>
      <w:r>
        <w:rPr>
          <w:u w:val="single"/>
        </w:rPr>
        <w:t>balance of probabilities</w:t>
      </w:r>
      <w:r>
        <w:t xml:space="preserve"> (3)</w:t>
      </w:r>
    </w:p>
    <w:p w14:paraId="7816227E" w14:textId="77777777" w:rsidR="00385730" w:rsidRDefault="00385730" w:rsidP="0099413D">
      <w:pPr>
        <w:rPr>
          <w:b/>
          <w:bCs/>
        </w:rPr>
      </w:pPr>
    </w:p>
    <w:p w14:paraId="6B344BCE" w14:textId="77777777" w:rsidR="00385730" w:rsidRDefault="00385730" w:rsidP="0099413D">
      <w:pPr>
        <w:rPr>
          <w:b/>
          <w:bCs/>
        </w:rPr>
      </w:pPr>
    </w:p>
    <w:p w14:paraId="615C6F70" w14:textId="134663F0" w:rsidR="0099413D" w:rsidRDefault="00385730" w:rsidP="0099413D">
      <w:r>
        <w:rPr>
          <w:b/>
          <w:bCs/>
        </w:rPr>
        <w:t>Procedure in s</w:t>
      </w:r>
      <w:r w:rsidR="002E4CA9">
        <w:rPr>
          <w:b/>
          <w:bCs/>
        </w:rPr>
        <w:t xml:space="preserve">ummary </w:t>
      </w:r>
      <w:r>
        <w:rPr>
          <w:b/>
          <w:bCs/>
        </w:rPr>
        <w:t xml:space="preserve">jurisdiction </w:t>
      </w:r>
    </w:p>
    <w:p w14:paraId="2AA7799F" w14:textId="75F18CDE" w:rsidR="002E4CA9" w:rsidRDefault="002E4CA9" w:rsidP="0099413D"/>
    <w:p w14:paraId="4EB6251F" w14:textId="52E6E40A" w:rsidR="002E4CA9" w:rsidRDefault="002E4CA9" w:rsidP="0099413D">
      <w:r>
        <w:t xml:space="preserve">Permitted by 20BQ under the </w:t>
      </w:r>
      <w:r>
        <w:rPr>
          <w:i/>
          <w:iCs/>
        </w:rPr>
        <w:t>Crimes Act</w:t>
      </w:r>
      <w:r>
        <w:t xml:space="preserve"> – where court satisfied person charged is suffering from mental illness or disability within state meanings, may dismiss charge or take other actions such as discharging them into appropriate care for up to 3 years </w:t>
      </w:r>
    </w:p>
    <w:p w14:paraId="7EC7321D" w14:textId="3ADA849C" w:rsidR="002E4CA9" w:rsidRDefault="002E4CA9" w:rsidP="0099413D"/>
    <w:p w14:paraId="6C1E3B19" w14:textId="25725ACE" w:rsidR="002E4CA9" w:rsidRDefault="002E4CA9" w:rsidP="0099413D">
      <w:r>
        <w:t xml:space="preserve">Division 9 also sets out alternative </w:t>
      </w:r>
      <w:r w:rsidR="00A759F6">
        <w:t xml:space="preserve">sentencing </w:t>
      </w:r>
      <w:r>
        <w:t xml:space="preserve">options such as hospital orders and psychiatric probation orders (whether summary or on indictment) </w:t>
      </w:r>
    </w:p>
    <w:p w14:paraId="4AF8D9B4" w14:textId="47C49F8A" w:rsidR="000379F0" w:rsidRDefault="000379F0" w:rsidP="0099413D"/>
    <w:p w14:paraId="3B235DA1" w14:textId="4E34751B" w:rsidR="00A759F6" w:rsidRDefault="000379F0" w:rsidP="00A759F6">
      <w:r>
        <w:t>Where fitness is an issue at committal, the Magistrate must refer proceedings to the appropriate higher court that the trial would be heard (20B)</w:t>
      </w:r>
      <w:r w:rsidR="00A759F6">
        <w:t xml:space="preserve"> and 20BA outlines other options for dismissal at committal </w:t>
      </w:r>
    </w:p>
    <w:p w14:paraId="05478278" w14:textId="2364DFB5" w:rsidR="002E4CA9" w:rsidRDefault="002E4CA9" w:rsidP="0099413D"/>
    <w:p w14:paraId="6FE6D960" w14:textId="6C6F77A6" w:rsidR="002E4CA9" w:rsidRDefault="00385730" w:rsidP="0099413D">
      <w:pPr>
        <w:rPr>
          <w:b/>
          <w:bCs/>
        </w:rPr>
      </w:pPr>
      <w:r>
        <w:rPr>
          <w:b/>
          <w:bCs/>
        </w:rPr>
        <w:t>Procedure o</w:t>
      </w:r>
      <w:r w:rsidR="002E4CA9">
        <w:rPr>
          <w:b/>
          <w:bCs/>
        </w:rPr>
        <w:t>n indictment</w:t>
      </w:r>
    </w:p>
    <w:p w14:paraId="0219D32F" w14:textId="77777777" w:rsidR="000379F0" w:rsidRDefault="000379F0" w:rsidP="0099413D">
      <w:pPr>
        <w:rPr>
          <w:b/>
          <w:bCs/>
        </w:rPr>
      </w:pPr>
    </w:p>
    <w:p w14:paraId="7F086AD2" w14:textId="1BD169E0" w:rsidR="002E4CA9" w:rsidRPr="002E4CA9" w:rsidRDefault="002E4CA9" w:rsidP="0099413D">
      <w:r w:rsidRPr="000379F0">
        <w:rPr>
          <w:b/>
          <w:bCs/>
        </w:rPr>
        <w:t>20BJ</w:t>
      </w:r>
      <w:r>
        <w:t xml:space="preserve"> – where acquitted because of a mental illness at the time of the offence, court must order person be detained in safe custody in a prison or hospital </w:t>
      </w:r>
      <w:r w:rsidR="000379F0">
        <w:t xml:space="preserve">unless satisfied it is more appropriate to release them absolutely or with conditions. </w:t>
      </w:r>
    </w:p>
    <w:p w14:paraId="4F01943C" w14:textId="77777777" w:rsidR="00AA2718" w:rsidRDefault="00AA2718" w:rsidP="00AA2718">
      <w:pPr>
        <w:jc w:val="center"/>
      </w:pPr>
    </w:p>
    <w:tbl>
      <w:tblPr>
        <w:tblStyle w:val="TableGrid"/>
        <w:tblW w:w="0" w:type="auto"/>
        <w:shd w:val="clear" w:color="auto" w:fill="BDD6EE" w:themeFill="accent5" w:themeFillTint="66"/>
        <w:tblLook w:val="04A0" w:firstRow="1" w:lastRow="0" w:firstColumn="1" w:lastColumn="0" w:noHBand="0" w:noVBand="1"/>
      </w:tblPr>
      <w:tblGrid>
        <w:gridCol w:w="9016"/>
      </w:tblGrid>
      <w:tr w:rsidR="00AA2718" w14:paraId="4EAD8BD1" w14:textId="77777777" w:rsidTr="00E96DFA">
        <w:trPr>
          <w:trHeight w:val="461"/>
        </w:trPr>
        <w:tc>
          <w:tcPr>
            <w:tcW w:w="9016" w:type="dxa"/>
            <w:shd w:val="clear" w:color="auto" w:fill="BDD6EE" w:themeFill="accent5" w:themeFillTint="66"/>
          </w:tcPr>
          <w:p w14:paraId="0AA09CD7" w14:textId="42A01A5A" w:rsidR="00AA2718" w:rsidRDefault="00AA2718" w:rsidP="00E96DFA">
            <w:pPr>
              <w:jc w:val="center"/>
              <w:rPr>
                <w:b/>
                <w:bCs/>
              </w:rPr>
            </w:pPr>
            <w:r>
              <w:rPr>
                <w:b/>
                <w:bCs/>
              </w:rPr>
              <w:t xml:space="preserve">Questioning </w:t>
            </w:r>
          </w:p>
        </w:tc>
      </w:tr>
    </w:tbl>
    <w:p w14:paraId="72D9B51A" w14:textId="77777777" w:rsidR="00AA2718" w:rsidRDefault="00AA2718" w:rsidP="00AA2718">
      <w:pPr>
        <w:jc w:val="center"/>
        <w:rPr>
          <w:b/>
          <w:bCs/>
        </w:rPr>
      </w:pPr>
    </w:p>
    <w:p w14:paraId="2C84628F" w14:textId="000D26B4" w:rsidR="0099413D" w:rsidRDefault="00AA2718" w:rsidP="00AA2718">
      <w:r>
        <w:rPr>
          <w:b/>
          <w:bCs/>
        </w:rPr>
        <w:t xml:space="preserve">S </w:t>
      </w:r>
      <w:r w:rsidRPr="00AA2718">
        <w:rPr>
          <w:b/>
          <w:bCs/>
        </w:rPr>
        <w:t>23F</w:t>
      </w:r>
      <w:r>
        <w:t xml:space="preserve"> of the Crimes Act requires cautioning prior to questioning. Statutory caution is “you do not have to say anything but anything you do say may be used in evidence”</w:t>
      </w:r>
    </w:p>
    <w:p w14:paraId="139288CE" w14:textId="77971044" w:rsidR="00AA2718" w:rsidRDefault="00AA2718" w:rsidP="00AA2718"/>
    <w:p w14:paraId="7957E87F" w14:textId="2B50B971" w:rsidR="00AA2718" w:rsidRDefault="00AA2718" w:rsidP="00AA2718">
      <w:r>
        <w:t xml:space="preserve">23B clarifies the obligation extends not only to AFP and </w:t>
      </w:r>
      <w:proofErr w:type="spellStart"/>
      <w:r>
        <w:t>Cth</w:t>
      </w:r>
      <w:proofErr w:type="spellEnd"/>
      <w:r>
        <w:t xml:space="preserve"> bodies but state or territory police service who are empowered to investigate and arrest for commonwealth offences</w:t>
      </w:r>
    </w:p>
    <w:p w14:paraId="3BD03A00" w14:textId="3E4DED30" w:rsidR="00AA2718" w:rsidRDefault="00AA2718" w:rsidP="00AA2718"/>
    <w:p w14:paraId="4E912673" w14:textId="50788FEE" w:rsidR="00AA2718" w:rsidRPr="00AA2718" w:rsidRDefault="00AA2718" w:rsidP="00AA2718">
      <w:pPr>
        <w:rPr>
          <w:b/>
          <w:bCs/>
        </w:rPr>
      </w:pPr>
      <w:r>
        <w:rPr>
          <w:b/>
          <w:bCs/>
        </w:rPr>
        <w:t>Investigation / questioning times</w:t>
      </w:r>
    </w:p>
    <w:p w14:paraId="6BF076FE" w14:textId="0311CD10" w:rsidR="00AA2718" w:rsidRDefault="00AA2718" w:rsidP="00AA2718"/>
    <w:p w14:paraId="5CF489BF" w14:textId="7B0FA4A7" w:rsidR="00AA2718" w:rsidRDefault="00AA2718" w:rsidP="00AA2718">
      <w:r w:rsidRPr="00AA2718">
        <w:t>Standard investigation period is 4 hours</w:t>
      </w:r>
      <w:r>
        <w:rPr>
          <w:b/>
          <w:bCs/>
        </w:rPr>
        <w:t xml:space="preserve"> </w:t>
      </w:r>
      <w:r>
        <w:t>(23C(4)(b) – (shorter than Qld 8 hours)</w:t>
      </w:r>
    </w:p>
    <w:p w14:paraId="222C9554" w14:textId="23697855" w:rsidR="00AA2718" w:rsidRDefault="00AA2718" w:rsidP="00AA2718"/>
    <w:p w14:paraId="30412109" w14:textId="77777777" w:rsidR="00AA2718" w:rsidRPr="00AA2718" w:rsidRDefault="00AA2718" w:rsidP="00AA2718">
      <w:pPr>
        <w:numPr>
          <w:ilvl w:val="0"/>
          <w:numId w:val="6"/>
        </w:numPr>
        <w:rPr>
          <w:lang w:val="en-GB"/>
        </w:rPr>
      </w:pPr>
      <w:r w:rsidRPr="00AA2718">
        <w:rPr>
          <w:lang w:val="en-GB"/>
        </w:rPr>
        <w:t>For a child, Aborigine, Torres Strait Islander this is reduced to 2 hours: section 23C(4)(a)</w:t>
      </w:r>
    </w:p>
    <w:p w14:paraId="4D9D1C54" w14:textId="77777777" w:rsidR="00AA2718" w:rsidRPr="00AA2718" w:rsidRDefault="00AA2718" w:rsidP="00AA2718">
      <w:pPr>
        <w:numPr>
          <w:ilvl w:val="0"/>
          <w:numId w:val="6"/>
        </w:numPr>
        <w:rPr>
          <w:lang w:val="en-GB"/>
        </w:rPr>
      </w:pPr>
      <w:r w:rsidRPr="00AA2718">
        <w:rPr>
          <w:lang w:val="en-GB"/>
        </w:rPr>
        <w:t>For these two groups off offenders the period can be extended by a judicial officer once for a period of 8 hours.</w:t>
      </w:r>
    </w:p>
    <w:p w14:paraId="1F5495FD" w14:textId="77777777" w:rsidR="00AA2718" w:rsidRPr="00AA2718" w:rsidRDefault="00AA2718" w:rsidP="00AA2718">
      <w:pPr>
        <w:numPr>
          <w:ilvl w:val="0"/>
          <w:numId w:val="6"/>
        </w:numPr>
        <w:rPr>
          <w:lang w:val="en-GB"/>
        </w:rPr>
      </w:pPr>
      <w:r w:rsidRPr="00AA2718">
        <w:rPr>
          <w:lang w:val="en-GB"/>
        </w:rPr>
        <w:t>For a terrorism suspect the above investigation periods apply but the period can be extended by a judicial officer any number of times up to 20 hours: section 23DA.</w:t>
      </w:r>
    </w:p>
    <w:p w14:paraId="0B0ACBBA" w14:textId="77777777" w:rsidR="00AA2718" w:rsidRPr="00AA2718" w:rsidRDefault="00AA2718" w:rsidP="00AA2718">
      <w:pPr>
        <w:numPr>
          <w:ilvl w:val="0"/>
          <w:numId w:val="6"/>
        </w:numPr>
        <w:rPr>
          <w:i/>
          <w:lang w:val="en-GB"/>
        </w:rPr>
      </w:pPr>
      <w:r w:rsidRPr="00AA2718">
        <w:rPr>
          <w:lang w:val="en-GB"/>
        </w:rPr>
        <w:t>Time outs are covered by subsection 23</w:t>
      </w:r>
      <w:proofErr w:type="gramStart"/>
      <w:r w:rsidRPr="00AA2718">
        <w:rPr>
          <w:lang w:val="en-GB"/>
        </w:rPr>
        <w:t>C(</w:t>
      </w:r>
      <w:proofErr w:type="gramEnd"/>
      <w:r w:rsidRPr="00AA2718">
        <w:rPr>
          <w:lang w:val="en-GB"/>
        </w:rPr>
        <w:t>7).</w:t>
      </w:r>
    </w:p>
    <w:p w14:paraId="203A0CED" w14:textId="0ACB0AD6" w:rsidR="00AA2718" w:rsidRDefault="00AA2718" w:rsidP="00AA2718"/>
    <w:p w14:paraId="745AA38A" w14:textId="77777777" w:rsidR="00AA2718" w:rsidRPr="00AA2718" w:rsidRDefault="00AA2718" w:rsidP="00AA2718">
      <w:pPr>
        <w:rPr>
          <w:b/>
          <w:bCs/>
          <w:iCs/>
          <w:lang w:val="en-GB"/>
        </w:rPr>
      </w:pPr>
      <w:r w:rsidRPr="00AA2718">
        <w:rPr>
          <w:b/>
          <w:bCs/>
          <w:iCs/>
          <w:lang w:val="en-GB"/>
        </w:rPr>
        <w:t>Other Rights</w:t>
      </w:r>
    </w:p>
    <w:p w14:paraId="5440C9D6" w14:textId="77777777" w:rsidR="00AA2718" w:rsidRPr="00AA2718" w:rsidRDefault="00AA2718" w:rsidP="00AA2718">
      <w:pPr>
        <w:rPr>
          <w:lang w:val="en-GB"/>
        </w:rPr>
      </w:pPr>
    </w:p>
    <w:p w14:paraId="548BF560" w14:textId="77777777" w:rsidR="00AA2718" w:rsidRPr="00AA2718" w:rsidRDefault="00AA2718" w:rsidP="00AA2718">
      <w:pPr>
        <w:rPr>
          <w:lang w:val="en-GB"/>
        </w:rPr>
      </w:pPr>
      <w:r w:rsidRPr="00AA2718">
        <w:rPr>
          <w:lang w:val="en-GB"/>
        </w:rPr>
        <w:t xml:space="preserve">Many of the rights of people arrested for Commonwealth offences are </w:t>
      </w:r>
      <w:proofErr w:type="gramStart"/>
      <w:r w:rsidRPr="00AA2718">
        <w:rPr>
          <w:lang w:val="en-GB"/>
        </w:rPr>
        <w:t>similar to</w:t>
      </w:r>
      <w:proofErr w:type="gramEnd"/>
      <w:r w:rsidRPr="00AA2718">
        <w:rPr>
          <w:lang w:val="en-GB"/>
        </w:rPr>
        <w:t xml:space="preserve"> those of state suspects.</w:t>
      </w:r>
    </w:p>
    <w:p w14:paraId="18514D87" w14:textId="77777777" w:rsidR="00AA2718" w:rsidRPr="00AA2718" w:rsidRDefault="00AA2718" w:rsidP="00AA2718">
      <w:pPr>
        <w:rPr>
          <w:lang w:val="en-GB"/>
        </w:rPr>
      </w:pPr>
    </w:p>
    <w:p w14:paraId="40503D17" w14:textId="1AFD9F44" w:rsidR="000B760C" w:rsidRDefault="000B760C" w:rsidP="00AA2718">
      <w:pPr>
        <w:numPr>
          <w:ilvl w:val="0"/>
          <w:numId w:val="7"/>
        </w:numPr>
        <w:rPr>
          <w:lang w:val="en-GB"/>
        </w:rPr>
      </w:pPr>
      <w:r>
        <w:rPr>
          <w:lang w:val="en-GB"/>
        </w:rPr>
        <w:t>Statutory right to remain silent – s 23P</w:t>
      </w:r>
    </w:p>
    <w:p w14:paraId="0217EBDE" w14:textId="6949690E" w:rsidR="00AA2718" w:rsidRPr="00AA2718" w:rsidRDefault="00AA2718" w:rsidP="00AA2718">
      <w:pPr>
        <w:numPr>
          <w:ilvl w:val="0"/>
          <w:numId w:val="7"/>
        </w:numPr>
        <w:rPr>
          <w:lang w:val="en-GB"/>
        </w:rPr>
      </w:pPr>
      <w:r w:rsidRPr="00AA2718">
        <w:rPr>
          <w:lang w:val="en-GB"/>
        </w:rPr>
        <w:t>Right to communicate with third persons: section 23G.</w:t>
      </w:r>
    </w:p>
    <w:p w14:paraId="6AC0637C" w14:textId="77777777" w:rsidR="00AA2718" w:rsidRPr="00AA2718" w:rsidRDefault="00AA2718" w:rsidP="00AA2718">
      <w:pPr>
        <w:numPr>
          <w:ilvl w:val="0"/>
          <w:numId w:val="7"/>
        </w:numPr>
        <w:rPr>
          <w:lang w:val="en-GB"/>
        </w:rPr>
      </w:pPr>
      <w:r w:rsidRPr="00AA2718">
        <w:rPr>
          <w:lang w:val="en-GB"/>
        </w:rPr>
        <w:t>Aboriginal suspects: section 23H.</w:t>
      </w:r>
    </w:p>
    <w:p w14:paraId="71B582F5" w14:textId="77777777" w:rsidR="00AA2718" w:rsidRPr="00AA2718" w:rsidRDefault="00AA2718" w:rsidP="00AA2718">
      <w:pPr>
        <w:numPr>
          <w:ilvl w:val="0"/>
          <w:numId w:val="7"/>
        </w:numPr>
        <w:rPr>
          <w:lang w:val="en-GB"/>
        </w:rPr>
      </w:pPr>
      <w:r w:rsidRPr="00AA2718">
        <w:rPr>
          <w:lang w:val="en-GB"/>
        </w:rPr>
        <w:t>Child suspects: section 23K.</w:t>
      </w:r>
    </w:p>
    <w:p w14:paraId="5B6DEBF6" w14:textId="77777777" w:rsidR="00AA2718" w:rsidRPr="00AA2718" w:rsidRDefault="00AA2718" w:rsidP="00AA2718">
      <w:pPr>
        <w:numPr>
          <w:ilvl w:val="0"/>
          <w:numId w:val="7"/>
        </w:numPr>
        <w:rPr>
          <w:lang w:val="en-GB"/>
        </w:rPr>
      </w:pPr>
      <w:r w:rsidRPr="00AA2718">
        <w:rPr>
          <w:lang w:val="en-GB"/>
        </w:rPr>
        <w:t>Right to an interpreter: section 23N.</w:t>
      </w:r>
    </w:p>
    <w:p w14:paraId="2302190E" w14:textId="3EF6370F" w:rsidR="00AA2718" w:rsidRDefault="00AA2718" w:rsidP="00AA2718">
      <w:pPr>
        <w:numPr>
          <w:ilvl w:val="0"/>
          <w:numId w:val="7"/>
        </w:numPr>
        <w:rPr>
          <w:lang w:val="en-GB"/>
        </w:rPr>
      </w:pPr>
      <w:r w:rsidRPr="00AA2718">
        <w:rPr>
          <w:lang w:val="en-GB"/>
        </w:rPr>
        <w:t>Confessions and admissions should be tape recorded where practicable or written down: section 23V.</w:t>
      </w:r>
    </w:p>
    <w:p w14:paraId="06AB0A1A" w14:textId="73099FD3" w:rsidR="00AA2718" w:rsidRPr="00AA2718" w:rsidRDefault="00AA2718" w:rsidP="00AA2718">
      <w:pPr>
        <w:numPr>
          <w:ilvl w:val="0"/>
          <w:numId w:val="7"/>
        </w:numPr>
        <w:rPr>
          <w:lang w:val="en-GB"/>
        </w:rPr>
      </w:pPr>
      <w:r>
        <w:rPr>
          <w:lang w:val="en-GB"/>
        </w:rPr>
        <w:t>Suspects who are not Australian citizens have a right to communicate with the consular office of the country – suspects must be advised of this right and cannot be questioned before they are so advised 23P</w:t>
      </w:r>
    </w:p>
    <w:p w14:paraId="2A6B7070" w14:textId="17FC9DA0" w:rsidR="00AA2718" w:rsidRDefault="00AA2718" w:rsidP="00AA2718"/>
    <w:p w14:paraId="61902D2D" w14:textId="77777777" w:rsidR="00E82B89" w:rsidRDefault="00E82B89" w:rsidP="00E82B89">
      <w:pPr>
        <w:jc w:val="center"/>
      </w:pPr>
    </w:p>
    <w:tbl>
      <w:tblPr>
        <w:tblStyle w:val="TableGrid"/>
        <w:tblW w:w="0" w:type="auto"/>
        <w:shd w:val="clear" w:color="auto" w:fill="BDD6EE" w:themeFill="accent5" w:themeFillTint="66"/>
        <w:tblLook w:val="04A0" w:firstRow="1" w:lastRow="0" w:firstColumn="1" w:lastColumn="0" w:noHBand="0" w:noVBand="1"/>
      </w:tblPr>
      <w:tblGrid>
        <w:gridCol w:w="9016"/>
      </w:tblGrid>
      <w:tr w:rsidR="00E82B89" w14:paraId="7C8CBDCC" w14:textId="77777777" w:rsidTr="00E96DFA">
        <w:trPr>
          <w:trHeight w:val="461"/>
        </w:trPr>
        <w:tc>
          <w:tcPr>
            <w:tcW w:w="9016" w:type="dxa"/>
            <w:shd w:val="clear" w:color="auto" w:fill="BDD6EE" w:themeFill="accent5" w:themeFillTint="66"/>
          </w:tcPr>
          <w:p w14:paraId="73220E55" w14:textId="209BB6DC" w:rsidR="00E82B89" w:rsidRDefault="00E82B89" w:rsidP="00E96DFA">
            <w:pPr>
              <w:jc w:val="center"/>
              <w:rPr>
                <w:b/>
                <w:bCs/>
              </w:rPr>
            </w:pPr>
            <w:r>
              <w:rPr>
                <w:b/>
                <w:bCs/>
              </w:rPr>
              <w:t xml:space="preserve">Defences </w:t>
            </w:r>
          </w:p>
        </w:tc>
      </w:tr>
    </w:tbl>
    <w:p w14:paraId="3E5A431B" w14:textId="77777777" w:rsidR="00E82B89" w:rsidRDefault="00E82B89" w:rsidP="00E82B89">
      <w:pPr>
        <w:jc w:val="center"/>
        <w:rPr>
          <w:b/>
          <w:bCs/>
        </w:rPr>
      </w:pPr>
    </w:p>
    <w:p w14:paraId="5137B7BA" w14:textId="121F5B87" w:rsidR="00E82B89" w:rsidRDefault="00E82B89" w:rsidP="00AA2718">
      <w:r>
        <w:rPr>
          <w:b/>
          <w:bCs/>
        </w:rPr>
        <w:lastRenderedPageBreak/>
        <w:t xml:space="preserve">S 4L </w:t>
      </w:r>
      <w:r>
        <w:t>of the Crimes A</w:t>
      </w:r>
      <w:r w:rsidR="00385730">
        <w:t>ct clarifies that any statutory defence does not, unless the contrary intention appears, exclude the operation of other defences (</w:t>
      </w:r>
      <w:proofErr w:type="gramStart"/>
      <w:r w:rsidR="00385730">
        <w:t>i.e.</w:t>
      </w:r>
      <w:proofErr w:type="gramEnd"/>
      <w:r w:rsidR="00385730">
        <w:t xml:space="preserve"> common law defences). </w:t>
      </w:r>
    </w:p>
    <w:p w14:paraId="56719C02" w14:textId="77777777" w:rsidR="002306DA" w:rsidRDefault="002306DA" w:rsidP="00AA2718">
      <w:r>
        <w:rPr>
          <w:b/>
          <w:bCs/>
        </w:rPr>
        <w:t>Criminal Code</w:t>
      </w:r>
      <w:r w:rsidR="0023371E">
        <w:t xml:space="preserve"> also specifically provides for</w:t>
      </w:r>
      <w:r>
        <w:t>:</w:t>
      </w:r>
    </w:p>
    <w:p w14:paraId="580701A3" w14:textId="6822F659" w:rsidR="0023371E" w:rsidRDefault="002306DA" w:rsidP="002306DA">
      <w:pPr>
        <w:pStyle w:val="ListParagraph"/>
        <w:numPr>
          <w:ilvl w:val="0"/>
          <w:numId w:val="12"/>
        </w:numPr>
      </w:pPr>
      <w:proofErr w:type="spellStart"/>
      <w:r>
        <w:t>s</w:t>
      </w:r>
      <w:r w:rsidR="0023371E">
        <w:t>elf defence</w:t>
      </w:r>
      <w:proofErr w:type="spellEnd"/>
      <w:r>
        <w:t xml:space="preserve"> (10.4)</w:t>
      </w:r>
    </w:p>
    <w:p w14:paraId="2051AEB1" w14:textId="29B8C737" w:rsidR="002306DA" w:rsidRDefault="002306DA" w:rsidP="002306DA">
      <w:pPr>
        <w:pStyle w:val="ListParagraph"/>
        <w:numPr>
          <w:ilvl w:val="0"/>
          <w:numId w:val="12"/>
        </w:numPr>
      </w:pPr>
      <w:r>
        <w:t>intervening conduct or event (10.1)</w:t>
      </w:r>
    </w:p>
    <w:p w14:paraId="30BF44D9" w14:textId="46CB0D0D" w:rsidR="002306DA" w:rsidRDefault="002306DA" w:rsidP="002306DA">
      <w:pPr>
        <w:pStyle w:val="ListParagraph"/>
        <w:numPr>
          <w:ilvl w:val="0"/>
          <w:numId w:val="12"/>
        </w:numPr>
      </w:pPr>
      <w:r>
        <w:t>Sudden or extraordinary emergency (10.3)</w:t>
      </w:r>
    </w:p>
    <w:p w14:paraId="76C08F73" w14:textId="45CC0403" w:rsidR="002306DA" w:rsidRDefault="002306DA" w:rsidP="002306DA">
      <w:pPr>
        <w:pStyle w:val="ListParagraph"/>
        <w:numPr>
          <w:ilvl w:val="0"/>
          <w:numId w:val="12"/>
        </w:numPr>
      </w:pPr>
      <w:r>
        <w:t>Lawful authority (10.5)</w:t>
      </w:r>
    </w:p>
    <w:p w14:paraId="3EC2CE6B" w14:textId="304F771A" w:rsidR="002306DA" w:rsidRPr="00E82B89" w:rsidRDefault="002306DA" w:rsidP="002306DA">
      <w:pPr>
        <w:pStyle w:val="ListParagraph"/>
        <w:numPr>
          <w:ilvl w:val="0"/>
          <w:numId w:val="12"/>
        </w:numPr>
      </w:pPr>
      <w:r>
        <w:t>Duress (10.2)</w:t>
      </w:r>
    </w:p>
    <w:sectPr w:rsidR="002306DA" w:rsidRPr="00E82B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1E76" w14:textId="77777777" w:rsidR="00B568F3" w:rsidRDefault="00B568F3" w:rsidP="00725349">
      <w:r>
        <w:separator/>
      </w:r>
    </w:p>
  </w:endnote>
  <w:endnote w:type="continuationSeparator" w:id="0">
    <w:p w14:paraId="3E9B41AA" w14:textId="77777777" w:rsidR="00B568F3" w:rsidRDefault="00B568F3" w:rsidP="007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8CC0" w14:textId="77777777" w:rsidR="00B568F3" w:rsidRDefault="00B568F3" w:rsidP="00725349">
      <w:r>
        <w:separator/>
      </w:r>
    </w:p>
  </w:footnote>
  <w:footnote w:type="continuationSeparator" w:id="0">
    <w:p w14:paraId="0D0DFE6E" w14:textId="77777777" w:rsidR="00B568F3" w:rsidRDefault="00B568F3" w:rsidP="0072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E5F"/>
    <w:multiLevelType w:val="hybridMultilevel"/>
    <w:tmpl w:val="CF0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47B8"/>
    <w:multiLevelType w:val="hybridMultilevel"/>
    <w:tmpl w:val="6656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17FED"/>
    <w:multiLevelType w:val="hybridMultilevel"/>
    <w:tmpl w:val="EE22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60DE"/>
    <w:multiLevelType w:val="hybridMultilevel"/>
    <w:tmpl w:val="06C40338"/>
    <w:lvl w:ilvl="0" w:tplc="F6FCEBC4">
      <w:start w:val="1"/>
      <w:numFmt w:val="decimal"/>
      <w:lvlText w:val="%1."/>
      <w:lvlJc w:val="left"/>
      <w:pPr>
        <w:ind w:left="360" w:hanging="360"/>
      </w:pPr>
      <w:rPr>
        <w:rFonts w:asciiTheme="minorHAnsi" w:hAnsiTheme="minorHAnsi" w:cstheme="minorHAnsi" w:hint="default"/>
        <w:b w:val="0"/>
        <w:i w:val="0"/>
        <w:color w:val="auto"/>
        <w:sz w:val="22"/>
        <w:szCs w:val="20"/>
      </w:r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4" w15:restartNumberingAfterBreak="0">
    <w:nsid w:val="396D3A7E"/>
    <w:multiLevelType w:val="hybridMultilevel"/>
    <w:tmpl w:val="4B9E55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4E3F03CF"/>
    <w:multiLevelType w:val="hybridMultilevel"/>
    <w:tmpl w:val="7DF8FB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8951FB"/>
    <w:multiLevelType w:val="hybridMultilevel"/>
    <w:tmpl w:val="A68AB06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566D6A82"/>
    <w:multiLevelType w:val="multilevel"/>
    <w:tmpl w:val="B5783D28"/>
    <w:lvl w:ilvl="0">
      <w:start w:val="1"/>
      <w:numFmt w:val="lowerLetter"/>
      <w:lvlText w:val="%1."/>
      <w:lvlJc w:val="left"/>
      <w:pPr>
        <w:tabs>
          <w:tab w:val="num" w:pos="720"/>
        </w:tabs>
        <w:ind w:left="720" w:hanging="360"/>
      </w:pPr>
    </w:lvl>
    <w:lvl w:ilvl="1">
      <w:numFmt w:val="lowerLetter"/>
      <w:lvlText w:val="%2."/>
      <w:lvlJc w:val="left"/>
      <w:pPr>
        <w:tabs>
          <w:tab w:val="num" w:pos="1440"/>
        </w:tabs>
        <w:ind w:left="1440" w:hanging="360"/>
      </w:pPr>
    </w:lvl>
    <w:lvl w:ilvl="2">
      <w:numFmt w:val="lowerLetter"/>
      <w:lvlText w:val="%3."/>
      <w:lvlJc w:val="left"/>
      <w:pPr>
        <w:tabs>
          <w:tab w:val="num" w:pos="2160"/>
        </w:tabs>
        <w:ind w:left="2160" w:hanging="360"/>
      </w:pPr>
    </w:lvl>
    <w:lvl w:ilvl="3">
      <w:numFmt w:val="lowerLetter"/>
      <w:lvlText w:val="%4."/>
      <w:lvlJc w:val="left"/>
      <w:pPr>
        <w:tabs>
          <w:tab w:val="num" w:pos="2880"/>
        </w:tabs>
        <w:ind w:left="2880" w:hanging="360"/>
      </w:pPr>
    </w:lvl>
    <w:lvl w:ilvl="4">
      <w:numFmt w:val="lowerLetter"/>
      <w:lvlText w:val="%5."/>
      <w:lvlJc w:val="left"/>
      <w:pPr>
        <w:tabs>
          <w:tab w:val="num" w:pos="3600"/>
        </w:tabs>
        <w:ind w:left="3600" w:hanging="360"/>
      </w:pPr>
    </w:lvl>
    <w:lvl w:ilvl="5">
      <w:numFmt w:val="lowerLetter"/>
      <w:lvlText w:val="%6."/>
      <w:lvlJc w:val="left"/>
      <w:pPr>
        <w:tabs>
          <w:tab w:val="num" w:pos="4320"/>
        </w:tabs>
        <w:ind w:left="4320" w:hanging="360"/>
      </w:pPr>
    </w:lvl>
    <w:lvl w:ilvl="6">
      <w:numFmt w:val="lowerLetter"/>
      <w:lvlText w:val="%7."/>
      <w:lvlJc w:val="left"/>
      <w:pPr>
        <w:tabs>
          <w:tab w:val="num" w:pos="5040"/>
        </w:tabs>
        <w:ind w:left="5040" w:hanging="360"/>
      </w:pPr>
    </w:lvl>
    <w:lvl w:ilvl="7">
      <w:numFmt w:val="lowerLetter"/>
      <w:lvlText w:val="%8."/>
      <w:lvlJc w:val="left"/>
      <w:pPr>
        <w:tabs>
          <w:tab w:val="num" w:pos="5760"/>
        </w:tabs>
        <w:ind w:left="5760" w:hanging="360"/>
      </w:pPr>
    </w:lvl>
    <w:lvl w:ilvl="8">
      <w:numFmt w:val="lowerLetter"/>
      <w:lvlText w:val="%9."/>
      <w:lvlJc w:val="left"/>
      <w:pPr>
        <w:tabs>
          <w:tab w:val="num" w:pos="6480"/>
        </w:tabs>
        <w:ind w:left="6480" w:hanging="360"/>
      </w:pPr>
    </w:lvl>
  </w:abstractNum>
  <w:abstractNum w:abstractNumId="8" w15:restartNumberingAfterBreak="0">
    <w:nsid w:val="5A6F1117"/>
    <w:multiLevelType w:val="hybridMultilevel"/>
    <w:tmpl w:val="8818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81B17"/>
    <w:multiLevelType w:val="hybridMultilevel"/>
    <w:tmpl w:val="CDAE0B74"/>
    <w:lvl w:ilvl="0" w:tplc="B4C223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0AC7BD7"/>
    <w:multiLevelType w:val="hybridMultilevel"/>
    <w:tmpl w:val="86EA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A13D7"/>
    <w:multiLevelType w:val="hybridMultilevel"/>
    <w:tmpl w:val="9F5AE5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01013876">
    <w:abstractNumId w:val="1"/>
  </w:num>
  <w:num w:numId="2" w16cid:durableId="582422663">
    <w:abstractNumId w:val="4"/>
  </w:num>
  <w:num w:numId="3" w16cid:durableId="785540564">
    <w:abstractNumId w:val="3"/>
  </w:num>
  <w:num w:numId="4" w16cid:durableId="1435128799">
    <w:abstractNumId w:val="7"/>
    <w:lvlOverride w:ilvl="0">
      <w:startOverride w:val="1"/>
    </w:lvlOverride>
    <w:lvlOverride w:ilvl="1"/>
    <w:lvlOverride w:ilvl="2"/>
    <w:lvlOverride w:ilvl="3"/>
    <w:lvlOverride w:ilvl="4"/>
    <w:lvlOverride w:ilvl="5"/>
    <w:lvlOverride w:ilvl="6"/>
    <w:lvlOverride w:ilvl="7"/>
    <w:lvlOverride w:ilvl="8"/>
  </w:num>
  <w:num w:numId="5" w16cid:durableId="1737052192">
    <w:abstractNumId w:val="9"/>
  </w:num>
  <w:num w:numId="6" w16cid:durableId="822770691">
    <w:abstractNumId w:val="5"/>
  </w:num>
  <w:num w:numId="7" w16cid:durableId="722295005">
    <w:abstractNumId w:val="11"/>
  </w:num>
  <w:num w:numId="8" w16cid:durableId="1434283742">
    <w:abstractNumId w:val="0"/>
  </w:num>
  <w:num w:numId="9" w16cid:durableId="370492886">
    <w:abstractNumId w:val="10"/>
  </w:num>
  <w:num w:numId="10" w16cid:durableId="498741960">
    <w:abstractNumId w:val="8"/>
  </w:num>
  <w:num w:numId="11" w16cid:durableId="737483600">
    <w:abstractNumId w:val="2"/>
  </w:num>
  <w:num w:numId="12" w16cid:durableId="1957709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9E"/>
    <w:rsid w:val="000379F0"/>
    <w:rsid w:val="000B6B01"/>
    <w:rsid w:val="000B760C"/>
    <w:rsid w:val="00142265"/>
    <w:rsid w:val="001C2C33"/>
    <w:rsid w:val="002306DA"/>
    <w:rsid w:val="0023371E"/>
    <w:rsid w:val="002A7A30"/>
    <w:rsid w:val="002E4CA9"/>
    <w:rsid w:val="00355B5E"/>
    <w:rsid w:val="00385730"/>
    <w:rsid w:val="004A029E"/>
    <w:rsid w:val="004C1510"/>
    <w:rsid w:val="00522351"/>
    <w:rsid w:val="0057705E"/>
    <w:rsid w:val="00592C81"/>
    <w:rsid w:val="006476E7"/>
    <w:rsid w:val="0065096D"/>
    <w:rsid w:val="00672195"/>
    <w:rsid w:val="00725349"/>
    <w:rsid w:val="007964F6"/>
    <w:rsid w:val="007A4EA5"/>
    <w:rsid w:val="008F6033"/>
    <w:rsid w:val="0099413D"/>
    <w:rsid w:val="00A759F6"/>
    <w:rsid w:val="00AA2718"/>
    <w:rsid w:val="00B157D3"/>
    <w:rsid w:val="00B277C3"/>
    <w:rsid w:val="00B568F3"/>
    <w:rsid w:val="00D24E78"/>
    <w:rsid w:val="00D9334F"/>
    <w:rsid w:val="00DF23D7"/>
    <w:rsid w:val="00E700DE"/>
    <w:rsid w:val="00E82B89"/>
    <w:rsid w:val="00EF1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42C95C"/>
  <w15:chartTrackingRefBased/>
  <w15:docId w15:val="{374D94F8-3FA7-5047-B3CA-77637E50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265"/>
    <w:pPr>
      <w:ind w:left="720"/>
      <w:contextualSpacing/>
    </w:pPr>
  </w:style>
  <w:style w:type="paragraph" w:styleId="FootnoteText">
    <w:name w:val="footnote text"/>
    <w:basedOn w:val="Normal"/>
    <w:link w:val="FootnoteTextChar"/>
    <w:uiPriority w:val="99"/>
    <w:semiHidden/>
    <w:unhideWhenUsed/>
    <w:rsid w:val="00725349"/>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725349"/>
    <w:rPr>
      <w:rFonts w:ascii="Arial" w:eastAsia="Times New Roman" w:hAnsi="Arial" w:cs="Times New Roman"/>
      <w:sz w:val="20"/>
      <w:szCs w:val="20"/>
    </w:rPr>
  </w:style>
  <w:style w:type="character" w:styleId="FootnoteReference">
    <w:name w:val="footnote reference"/>
    <w:uiPriority w:val="99"/>
    <w:semiHidden/>
    <w:unhideWhenUsed/>
    <w:rsid w:val="00725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Hans</dc:creator>
  <cp:keywords/>
  <dc:description/>
  <cp:lastModifiedBy>Dylan Hans</cp:lastModifiedBy>
  <cp:revision>7</cp:revision>
  <dcterms:created xsi:type="dcterms:W3CDTF">2022-08-04T00:01:00Z</dcterms:created>
  <dcterms:modified xsi:type="dcterms:W3CDTF">2022-08-04T03:40:00Z</dcterms:modified>
</cp:coreProperties>
</file>